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80"/>
        <w:spacing w:after="0"/>
        <w:rPr>
          <w:sz w:val="20"/>
          <w:szCs w:val="20"/>
          <w:color w:val="auto"/>
        </w:rPr>
      </w:pPr>
      <w:r>
        <w:rPr>
          <w:rFonts w:ascii="Arial" w:cs="Arial" w:eastAsia="Arial" w:hAnsi="Arial"/>
          <w:sz w:val="13"/>
          <w:szCs w:val="13"/>
          <w:b w:val="1"/>
          <w:bCs w:val="1"/>
          <w:color w:val="auto"/>
        </w:rPr>
        <w:t>As filed with the Securities and Exchange Commission on September 8, 2020.</w:t>
      </w:r>
    </w:p>
    <w:p>
      <w:pPr>
        <w:spacing w:after="0" w:line="4" w:lineRule="exact"/>
        <w:rPr>
          <w:sz w:val="24"/>
          <w:szCs w:val="24"/>
          <w:color w:val="auto"/>
        </w:rPr>
      </w:pPr>
    </w:p>
    <w:p>
      <w:pPr>
        <w:ind w:left="9280"/>
        <w:spacing w:after="0"/>
        <w:rPr>
          <w:sz w:val="20"/>
          <w:szCs w:val="20"/>
          <w:color w:val="auto"/>
        </w:rPr>
      </w:pPr>
      <w:r>
        <w:rPr>
          <w:rFonts w:ascii="Arial" w:cs="Arial" w:eastAsia="Arial" w:hAnsi="Arial"/>
          <w:sz w:val="13"/>
          <w:szCs w:val="13"/>
          <w:b w:val="1"/>
          <w:bCs w:val="1"/>
          <w:color w:val="auto"/>
        </w:rPr>
        <w:t>Registration No. 333-248428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53340</wp:posOffset>
            </wp:positionV>
            <wp:extent cx="1954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AMENDMENT NO. 1 TO</w:t>
      </w:r>
    </w:p>
    <w:p>
      <w:pPr>
        <w:spacing w:after="0" w:line="46" w:lineRule="exact"/>
        <w:rPr>
          <w:sz w:val="24"/>
          <w:szCs w:val="24"/>
          <w:color w:val="auto"/>
        </w:rPr>
      </w:pPr>
    </w:p>
    <w:p>
      <w:pPr>
        <w:jc w:val="center"/>
        <w:ind w:right="-39"/>
        <w:spacing w:after="0" w:line="265" w:lineRule="exact"/>
        <w:rPr>
          <w:sz w:val="20"/>
          <w:szCs w:val="20"/>
          <w:color w:val="auto"/>
        </w:rPr>
      </w:pPr>
      <w:r>
        <w:rPr>
          <w:rFonts w:ascii="Arial" w:cs="Arial" w:eastAsia="Arial" w:hAnsi="Arial"/>
          <w:sz w:val="23"/>
          <w:szCs w:val="23"/>
          <w:b w:val="1"/>
          <w:bCs w:val="1"/>
          <w:color w:val="auto"/>
        </w:rPr>
        <w:t>FORM S</w:t>
      </w:r>
      <w:r>
        <w:rPr>
          <w:rFonts w:ascii="MS PGothic" w:cs="MS PGothic" w:eastAsia="MS PGothic" w:hAnsi="MS PGothic"/>
          <w:sz w:val="23"/>
          <w:szCs w:val="23"/>
          <w:color w:val="auto"/>
          <w:strike w:val="1"/>
        </w:rPr>
        <w:t>‑</w:t>
      </w:r>
      <w:r>
        <w:rPr>
          <w:rFonts w:ascii="Arial" w:cs="Arial" w:eastAsia="Arial" w:hAnsi="Arial"/>
          <w:sz w:val="23"/>
          <w:szCs w:val="23"/>
          <w:b w:val="1"/>
          <w:bCs w:val="1"/>
          <w:color w:val="auto"/>
        </w:rPr>
        <w:t>1</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36195</wp:posOffset>
            </wp:positionV>
            <wp:extent cx="195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ATHIRA PHARMA, INC.</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62865</wp:posOffset>
            </wp:positionV>
            <wp:extent cx="195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85"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2820" w:type="dxa"/>
            <w:vAlign w:val="bottom"/>
          </w:tcPr>
          <w:p>
            <w:pPr>
              <w:jc w:val="center"/>
              <w:ind w:right="1260"/>
              <w:spacing w:after="0"/>
              <w:rPr>
                <w:sz w:val="20"/>
                <w:szCs w:val="20"/>
                <w:color w:val="auto"/>
              </w:rPr>
            </w:pPr>
            <w:r>
              <w:rPr>
                <w:rFonts w:ascii="Arial" w:cs="Arial" w:eastAsia="Arial" w:hAnsi="Arial"/>
                <w:sz w:val="14"/>
                <w:szCs w:val="14"/>
                <w:b w:val="1"/>
                <w:bCs w:val="1"/>
                <w:color w:val="auto"/>
              </w:rPr>
              <w:t>Delaware</w:t>
            </w:r>
          </w:p>
        </w:tc>
        <w:tc>
          <w:tcPr>
            <w:tcW w:w="4160" w:type="dxa"/>
            <w:vAlign w:val="bottom"/>
          </w:tcPr>
          <w:p>
            <w:pPr>
              <w:jc w:val="center"/>
              <w:ind w:right="60"/>
              <w:spacing w:after="0"/>
              <w:rPr>
                <w:sz w:val="20"/>
                <w:szCs w:val="20"/>
                <w:color w:val="auto"/>
              </w:rPr>
            </w:pPr>
            <w:r>
              <w:rPr>
                <w:rFonts w:ascii="Arial" w:cs="Arial" w:eastAsia="Arial" w:hAnsi="Arial"/>
                <w:sz w:val="14"/>
                <w:szCs w:val="14"/>
                <w:b w:val="1"/>
                <w:bCs w:val="1"/>
                <w:color w:val="auto"/>
              </w:rPr>
              <w:t>2836</w:t>
            </w:r>
          </w:p>
        </w:tc>
        <w:tc>
          <w:tcPr>
            <w:tcW w:w="2520" w:type="dxa"/>
            <w:vAlign w:val="bottom"/>
          </w:tcPr>
          <w:p>
            <w:pPr>
              <w:jc w:val="center"/>
              <w:ind w:left="1340"/>
              <w:spacing w:after="0"/>
              <w:rPr>
                <w:sz w:val="20"/>
                <w:szCs w:val="20"/>
                <w:color w:val="auto"/>
              </w:rPr>
            </w:pPr>
            <w:r>
              <w:rPr>
                <w:rFonts w:ascii="Arial" w:cs="Arial" w:eastAsia="Arial" w:hAnsi="Arial"/>
                <w:sz w:val="14"/>
                <w:szCs w:val="14"/>
                <w:b w:val="1"/>
                <w:bCs w:val="1"/>
                <w:color w:val="auto"/>
              </w:rPr>
              <w:t>45-3368487</w:t>
            </w:r>
          </w:p>
        </w:tc>
      </w:tr>
      <w:tr>
        <w:trPr>
          <w:trHeight w:val="122"/>
        </w:trPr>
        <w:tc>
          <w:tcPr>
            <w:tcW w:w="2820" w:type="dxa"/>
            <w:vAlign w:val="bottom"/>
          </w:tcPr>
          <w:p>
            <w:pPr>
              <w:jc w:val="center"/>
              <w:ind w:right="1280"/>
              <w:spacing w:after="0" w:line="122" w:lineRule="exact"/>
              <w:rPr>
                <w:sz w:val="20"/>
                <w:szCs w:val="20"/>
                <w:color w:val="auto"/>
              </w:rPr>
            </w:pPr>
            <w:r>
              <w:rPr>
                <w:rFonts w:ascii="Arial" w:cs="Arial" w:eastAsia="Arial" w:hAnsi="Arial"/>
                <w:sz w:val="11"/>
                <w:szCs w:val="11"/>
                <w:b w:val="1"/>
                <w:bCs w:val="1"/>
                <w:color w:val="auto"/>
                <w:w w:val="95"/>
              </w:rPr>
              <w:t>(State or other jurisdiction of</w:t>
            </w:r>
          </w:p>
        </w:tc>
        <w:tc>
          <w:tcPr>
            <w:tcW w:w="4160" w:type="dxa"/>
            <w:vAlign w:val="bottom"/>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(Primary Standard Industrial</w:t>
            </w:r>
          </w:p>
        </w:tc>
        <w:tc>
          <w:tcPr>
            <w:tcW w:w="2520" w:type="dxa"/>
            <w:vAlign w:val="bottom"/>
          </w:tcPr>
          <w:p>
            <w:pPr>
              <w:jc w:val="center"/>
              <w:ind w:left="1300"/>
              <w:spacing w:after="0" w:line="122" w:lineRule="exact"/>
              <w:rPr>
                <w:sz w:val="20"/>
                <w:szCs w:val="20"/>
                <w:color w:val="auto"/>
              </w:rPr>
            </w:pPr>
            <w:r>
              <w:rPr>
                <w:rFonts w:ascii="Arial" w:cs="Arial" w:eastAsia="Arial" w:hAnsi="Arial"/>
                <w:sz w:val="11"/>
                <w:szCs w:val="11"/>
                <w:b w:val="1"/>
                <w:bCs w:val="1"/>
                <w:color w:val="auto"/>
                <w:w w:val="94"/>
              </w:rPr>
              <w:t>(I.R.S. Employer</w:t>
            </w:r>
          </w:p>
        </w:tc>
      </w:tr>
      <w:tr>
        <w:trPr>
          <w:trHeight w:val="152"/>
        </w:trPr>
        <w:tc>
          <w:tcPr>
            <w:tcW w:w="2820" w:type="dxa"/>
            <w:vAlign w:val="bottom"/>
          </w:tcPr>
          <w:p>
            <w:pPr>
              <w:jc w:val="center"/>
              <w:ind w:right="1260"/>
              <w:spacing w:after="0"/>
              <w:rPr>
                <w:sz w:val="20"/>
                <w:szCs w:val="20"/>
                <w:color w:val="auto"/>
              </w:rPr>
            </w:pPr>
            <w:r>
              <w:rPr>
                <w:rFonts w:ascii="Arial" w:cs="Arial" w:eastAsia="Arial" w:hAnsi="Arial"/>
                <w:sz w:val="11"/>
                <w:szCs w:val="11"/>
                <w:b w:val="1"/>
                <w:bCs w:val="1"/>
                <w:color w:val="auto"/>
                <w:w w:val="95"/>
              </w:rPr>
              <w:t>incorporation or organization)</w:t>
            </w:r>
          </w:p>
        </w:tc>
        <w:tc>
          <w:tcPr>
            <w:tcW w:w="4160" w:type="dxa"/>
            <w:vAlign w:val="bottom"/>
          </w:tcPr>
          <w:p>
            <w:pPr>
              <w:jc w:val="center"/>
              <w:ind w:right="40"/>
              <w:spacing w:after="0"/>
              <w:rPr>
                <w:sz w:val="20"/>
                <w:szCs w:val="20"/>
                <w:color w:val="auto"/>
              </w:rPr>
            </w:pPr>
            <w:r>
              <w:rPr>
                <w:rFonts w:ascii="Arial" w:cs="Arial" w:eastAsia="Arial" w:hAnsi="Arial"/>
                <w:sz w:val="11"/>
                <w:szCs w:val="11"/>
                <w:b w:val="1"/>
                <w:bCs w:val="1"/>
                <w:color w:val="auto"/>
                <w:w w:val="94"/>
              </w:rPr>
              <w:t>Classification Code Number)</w:t>
            </w:r>
          </w:p>
        </w:tc>
        <w:tc>
          <w:tcPr>
            <w:tcW w:w="2520" w:type="dxa"/>
            <w:vAlign w:val="bottom"/>
          </w:tcPr>
          <w:p>
            <w:pPr>
              <w:jc w:val="center"/>
              <w:ind w:left="1340"/>
              <w:spacing w:after="0"/>
              <w:rPr>
                <w:sz w:val="20"/>
                <w:szCs w:val="20"/>
                <w:color w:val="auto"/>
              </w:rPr>
            </w:pPr>
            <w:r>
              <w:rPr>
                <w:rFonts w:ascii="Arial" w:cs="Arial" w:eastAsia="Arial" w:hAnsi="Arial"/>
                <w:sz w:val="11"/>
                <w:szCs w:val="11"/>
                <w:b w:val="1"/>
                <w:bCs w:val="1"/>
                <w:color w:val="auto"/>
                <w:w w:val="95"/>
              </w:rPr>
              <w:t>Identification Number)</w:t>
            </w:r>
          </w:p>
        </w:tc>
      </w:tr>
    </w:tbl>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4000 Mason Road, Suite 300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Seattle, WA 98195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(206) 221-8112</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50165</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6"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9"/>
              </w:rPr>
              <w:t>Leen Kawas, Ph.D.</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President and Chief Executive Officer</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Athira Pharma, Inc.</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4000 Mason Road, Suite 300</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Seattle, WA 98195</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80" w:type="dxa"/>
            <w:vAlign w:val="bottom"/>
          </w:tcPr>
          <w:p>
            <w:pPr>
              <w:spacing w:after="0"/>
              <w:rPr>
                <w:sz w:val="16"/>
                <w:szCs w:val="16"/>
                <w:color w:val="auto"/>
              </w:rPr>
            </w:pPr>
          </w:p>
        </w:tc>
        <w:tc>
          <w:tcPr>
            <w:tcW w:w="4120" w:type="dxa"/>
            <w:vAlign w:val="bottom"/>
            <w:gridSpan w:val="2"/>
          </w:tcPr>
          <w:p>
            <w:pPr>
              <w:jc w:val="center"/>
              <w:ind w:left="937"/>
              <w:spacing w:after="0"/>
              <w:rPr>
                <w:sz w:val="20"/>
                <w:szCs w:val="20"/>
                <w:color w:val="auto"/>
              </w:rPr>
            </w:pPr>
            <w:r>
              <w:rPr>
                <w:rFonts w:ascii="Arial" w:cs="Arial" w:eastAsia="Arial" w:hAnsi="Arial"/>
                <w:sz w:val="14"/>
                <w:szCs w:val="14"/>
                <w:b w:val="1"/>
                <w:bCs w:val="1"/>
                <w:color w:val="auto"/>
              </w:rPr>
              <w:t>(206) 221-8112</w:t>
            </w:r>
          </w:p>
        </w:tc>
        <w:tc>
          <w:tcPr>
            <w:tcW w:w="1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5200" w:type="dxa"/>
            <w:vAlign w:val="bottom"/>
            <w:gridSpan w:val="3"/>
          </w:tcPr>
          <w:p>
            <w:pPr>
              <w:ind w:left="80"/>
              <w:spacing w:after="0"/>
              <w:rPr>
                <w:sz w:val="20"/>
                <w:szCs w:val="20"/>
                <w:color w:val="auto"/>
              </w:rPr>
            </w:pPr>
            <w:r>
              <w:rPr>
                <w:rFonts w:ascii="Arial" w:cs="Arial" w:eastAsia="Arial" w:hAnsi="Arial"/>
                <w:sz w:val="11"/>
                <w:szCs w:val="11"/>
                <w:b w:val="1"/>
                <w:bCs w:val="1"/>
                <w:color w:val="auto"/>
                <w:w w:val="96"/>
              </w:rPr>
              <w:t>(Name, address, including zip code, and telephone number, including area code, of agent for service)</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21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Michael Nordtvedt</w:t>
            </w:r>
          </w:p>
        </w:tc>
        <w:tc>
          <w:tcPr>
            <w:tcW w:w="1040" w:type="dxa"/>
            <w:vAlign w:val="bottom"/>
          </w:tcPr>
          <w:p>
            <w:pPr>
              <w:spacing w:after="0"/>
              <w:rPr>
                <w:sz w:val="24"/>
                <w:szCs w:val="24"/>
                <w:color w:val="auto"/>
              </w:rPr>
            </w:pPr>
          </w:p>
        </w:tc>
        <w:tc>
          <w:tcPr>
            <w:tcW w:w="4160" w:type="dxa"/>
            <w:vAlign w:val="bottom"/>
            <w:gridSpan w:val="2"/>
          </w:tcPr>
          <w:p>
            <w:pPr>
              <w:ind w:left="1260"/>
              <w:spacing w:after="0"/>
              <w:rPr>
                <w:sz w:val="20"/>
                <w:szCs w:val="20"/>
                <w:color w:val="auto"/>
              </w:rPr>
            </w:pPr>
            <w:r>
              <w:rPr>
                <w:rFonts w:ascii="Arial" w:cs="Arial" w:eastAsia="Arial" w:hAnsi="Arial"/>
                <w:sz w:val="14"/>
                <w:szCs w:val="14"/>
                <w:b w:val="1"/>
                <w:bCs w:val="1"/>
                <w:i w:val="1"/>
                <w:iCs w:val="1"/>
                <w:color w:val="auto"/>
              </w:rPr>
              <w:t>Copies to:</w:t>
            </w:r>
          </w:p>
        </w:tc>
        <w:tc>
          <w:tcPr>
            <w:tcW w:w="23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Charles S. Kim</w:t>
            </w:r>
          </w:p>
        </w:tc>
        <w:tc>
          <w:tcPr>
            <w:tcW w:w="0" w:type="dxa"/>
            <w:vAlign w:val="bottom"/>
          </w:tcPr>
          <w:p>
            <w:pPr>
              <w:spacing w:after="0"/>
              <w:rPr>
                <w:sz w:val="1"/>
                <w:szCs w:val="1"/>
                <w:color w:val="auto"/>
              </w:rPr>
            </w:pPr>
          </w:p>
        </w:tc>
      </w:tr>
      <w:tr>
        <w:trPr>
          <w:trHeight w:val="41"/>
        </w:trPr>
        <w:tc>
          <w:tcPr>
            <w:tcW w:w="21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180" w:type="dxa"/>
            <w:vAlign w:val="bottom"/>
          </w:tcPr>
          <w:p>
            <w:pPr>
              <w:jc w:val="center"/>
              <w:ind w:left="88"/>
              <w:spacing w:after="0"/>
              <w:rPr>
                <w:sz w:val="20"/>
                <w:szCs w:val="20"/>
                <w:color w:val="auto"/>
              </w:rPr>
            </w:pPr>
            <w:r>
              <w:rPr>
                <w:rFonts w:ascii="Arial" w:cs="Arial" w:eastAsia="Arial" w:hAnsi="Arial"/>
                <w:sz w:val="14"/>
                <w:szCs w:val="14"/>
                <w:b w:val="1"/>
                <w:bCs w:val="1"/>
                <w:color w:val="auto"/>
              </w:rPr>
              <w:t>Bryan D. King</w:t>
            </w:r>
          </w:p>
        </w:tc>
        <w:tc>
          <w:tcPr>
            <w:tcW w:w="1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tcPr>
          <w:p>
            <w:pPr>
              <w:jc w:val="center"/>
              <w:ind w:left="28"/>
              <w:spacing w:after="0"/>
              <w:rPr>
                <w:sz w:val="20"/>
                <w:szCs w:val="20"/>
                <w:color w:val="auto"/>
              </w:rPr>
            </w:pPr>
            <w:r>
              <w:rPr>
                <w:rFonts w:ascii="Arial" w:cs="Arial" w:eastAsia="Arial" w:hAnsi="Arial"/>
                <w:sz w:val="14"/>
                <w:szCs w:val="14"/>
                <w:b w:val="1"/>
                <w:bCs w:val="1"/>
                <w:color w:val="auto"/>
              </w:rPr>
              <w:t>Alan D. Hambelton</w:t>
            </w:r>
          </w:p>
        </w:tc>
        <w:tc>
          <w:tcPr>
            <w:tcW w:w="0" w:type="dxa"/>
            <w:vAlign w:val="bottom"/>
          </w:tcPr>
          <w:p>
            <w:pPr>
              <w:spacing w:after="0"/>
              <w:rPr>
                <w:sz w:val="1"/>
                <w:szCs w:val="1"/>
                <w:color w:val="auto"/>
              </w:rPr>
            </w:pPr>
          </w:p>
        </w:tc>
      </w:tr>
      <w:tr>
        <w:trPr>
          <w:trHeight w:val="162"/>
        </w:trPr>
        <w:tc>
          <w:tcPr>
            <w:tcW w:w="2180" w:type="dxa"/>
            <w:vAlign w:val="bottom"/>
          </w:tcPr>
          <w:p>
            <w:pPr>
              <w:jc w:val="center"/>
              <w:ind w:left="88"/>
              <w:spacing w:after="0"/>
              <w:rPr>
                <w:sz w:val="20"/>
                <w:szCs w:val="20"/>
                <w:color w:val="auto"/>
              </w:rPr>
            </w:pPr>
            <w:r>
              <w:rPr>
                <w:rFonts w:ascii="Arial" w:cs="Arial" w:eastAsia="Arial" w:hAnsi="Arial"/>
                <w:sz w:val="14"/>
                <w:szCs w:val="14"/>
                <w:b w:val="1"/>
                <w:bCs w:val="1"/>
                <w:color w:val="auto"/>
              </w:rPr>
              <w:t>Donna Petkanics</w:t>
            </w:r>
          </w:p>
        </w:tc>
        <w:tc>
          <w:tcPr>
            <w:tcW w:w="1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tcPr>
          <w:p>
            <w:pPr>
              <w:jc w:val="center"/>
              <w:ind w:left="8"/>
              <w:spacing w:after="0"/>
              <w:rPr>
                <w:sz w:val="20"/>
                <w:szCs w:val="20"/>
                <w:color w:val="auto"/>
              </w:rPr>
            </w:pPr>
            <w:r>
              <w:rPr>
                <w:rFonts w:ascii="Arial" w:cs="Arial" w:eastAsia="Arial" w:hAnsi="Arial"/>
                <w:sz w:val="14"/>
                <w:szCs w:val="14"/>
                <w:b w:val="1"/>
                <w:bCs w:val="1"/>
                <w:color w:val="auto"/>
                <w:w w:val="99"/>
              </w:rPr>
              <w:t>David Peinsipp</w:t>
            </w:r>
          </w:p>
        </w:tc>
        <w:tc>
          <w:tcPr>
            <w:tcW w:w="0" w:type="dxa"/>
            <w:vAlign w:val="bottom"/>
          </w:tcPr>
          <w:p>
            <w:pPr>
              <w:spacing w:after="0"/>
              <w:rPr>
                <w:sz w:val="1"/>
                <w:szCs w:val="1"/>
                <w:color w:val="auto"/>
              </w:rPr>
            </w:pPr>
          </w:p>
        </w:tc>
      </w:tr>
      <w:tr>
        <w:trPr>
          <w:trHeight w:val="162"/>
        </w:trPr>
        <w:tc>
          <w:tcPr>
            <w:tcW w:w="7380" w:type="dxa"/>
            <w:vAlign w:val="bottom"/>
            <w:gridSpan w:val="4"/>
          </w:tcPr>
          <w:p>
            <w:pPr>
              <w:jc w:val="center"/>
              <w:ind w:right="5060"/>
              <w:spacing w:after="0"/>
              <w:rPr>
                <w:sz w:val="20"/>
                <w:szCs w:val="20"/>
                <w:color w:val="auto"/>
              </w:rPr>
            </w:pPr>
            <w:r>
              <w:rPr>
                <w:rFonts w:ascii="Arial" w:cs="Arial" w:eastAsia="Arial" w:hAnsi="Arial"/>
                <w:sz w:val="14"/>
                <w:szCs w:val="14"/>
                <w:b w:val="1"/>
                <w:bCs w:val="1"/>
                <w:color w:val="auto"/>
              </w:rPr>
              <w:t>Wilson Sonsini Goodrich &amp; Rosati,</w:t>
            </w:r>
          </w:p>
        </w:tc>
        <w:tc>
          <w:tcPr>
            <w:tcW w:w="2320" w:type="dxa"/>
            <w:vAlign w:val="bottom"/>
          </w:tcPr>
          <w:p>
            <w:pPr>
              <w:jc w:val="center"/>
              <w:ind w:left="28"/>
              <w:spacing w:after="0"/>
              <w:rPr>
                <w:sz w:val="20"/>
                <w:szCs w:val="20"/>
                <w:color w:val="auto"/>
              </w:rPr>
            </w:pPr>
            <w:r>
              <w:rPr>
                <w:rFonts w:ascii="Arial" w:cs="Arial" w:eastAsia="Arial" w:hAnsi="Arial"/>
                <w:sz w:val="14"/>
                <w:szCs w:val="14"/>
                <w:b w:val="1"/>
                <w:bCs w:val="1"/>
                <w:color w:val="auto"/>
              </w:rPr>
              <w:t>Cooley LLP</w:t>
            </w:r>
          </w:p>
        </w:tc>
        <w:tc>
          <w:tcPr>
            <w:tcW w:w="0" w:type="dxa"/>
            <w:vAlign w:val="bottom"/>
          </w:tcPr>
          <w:p>
            <w:pPr>
              <w:spacing w:after="0"/>
              <w:rPr>
                <w:sz w:val="1"/>
                <w:szCs w:val="1"/>
                <w:color w:val="auto"/>
              </w:rPr>
            </w:pPr>
          </w:p>
        </w:tc>
      </w:tr>
      <w:tr>
        <w:trPr>
          <w:trHeight w:val="162"/>
        </w:trPr>
        <w:tc>
          <w:tcPr>
            <w:tcW w:w="218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Professional Corporation</w:t>
            </w:r>
          </w:p>
        </w:tc>
        <w:tc>
          <w:tcPr>
            <w:tcW w:w="1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tcPr>
          <w:p>
            <w:pPr>
              <w:jc w:val="center"/>
              <w:ind w:left="28"/>
              <w:spacing w:after="0"/>
              <w:rPr>
                <w:sz w:val="20"/>
                <w:szCs w:val="20"/>
                <w:color w:val="auto"/>
              </w:rPr>
            </w:pPr>
            <w:r>
              <w:rPr>
                <w:rFonts w:ascii="Arial" w:cs="Arial" w:eastAsia="Arial" w:hAnsi="Arial"/>
                <w:sz w:val="14"/>
                <w:szCs w:val="14"/>
                <w:b w:val="1"/>
                <w:bCs w:val="1"/>
                <w:color w:val="auto"/>
              </w:rPr>
              <w:t>1700 Seventh Avenue, Suite 1900</w:t>
            </w:r>
          </w:p>
        </w:tc>
        <w:tc>
          <w:tcPr>
            <w:tcW w:w="0" w:type="dxa"/>
            <w:vAlign w:val="bottom"/>
          </w:tcPr>
          <w:p>
            <w:pPr>
              <w:spacing w:after="0"/>
              <w:rPr>
                <w:sz w:val="1"/>
                <w:szCs w:val="1"/>
                <w:color w:val="auto"/>
              </w:rPr>
            </w:pPr>
          </w:p>
        </w:tc>
      </w:tr>
      <w:tr>
        <w:trPr>
          <w:trHeight w:val="162"/>
        </w:trPr>
        <w:tc>
          <w:tcPr>
            <w:tcW w:w="2180" w:type="dxa"/>
            <w:vAlign w:val="bottom"/>
          </w:tcPr>
          <w:p>
            <w:pPr>
              <w:jc w:val="center"/>
              <w:ind w:left="88"/>
              <w:spacing w:after="0"/>
              <w:rPr>
                <w:sz w:val="20"/>
                <w:szCs w:val="20"/>
                <w:color w:val="auto"/>
              </w:rPr>
            </w:pPr>
            <w:r>
              <w:rPr>
                <w:rFonts w:ascii="Arial" w:cs="Arial" w:eastAsia="Arial" w:hAnsi="Arial"/>
                <w:sz w:val="14"/>
                <w:szCs w:val="14"/>
                <w:b w:val="1"/>
                <w:bCs w:val="1"/>
                <w:color w:val="auto"/>
              </w:rPr>
              <w:t>701 Fifth Avenue, Suite 5100</w:t>
            </w:r>
          </w:p>
        </w:tc>
        <w:tc>
          <w:tcPr>
            <w:tcW w:w="1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tcPr>
          <w:p>
            <w:pPr>
              <w:jc w:val="center"/>
              <w:ind w:left="8"/>
              <w:spacing w:after="0"/>
              <w:rPr>
                <w:sz w:val="20"/>
                <w:szCs w:val="20"/>
                <w:color w:val="auto"/>
              </w:rPr>
            </w:pPr>
            <w:r>
              <w:rPr>
                <w:rFonts w:ascii="Arial" w:cs="Arial" w:eastAsia="Arial" w:hAnsi="Arial"/>
                <w:sz w:val="14"/>
                <w:szCs w:val="14"/>
                <w:b w:val="1"/>
                <w:bCs w:val="1"/>
                <w:color w:val="auto"/>
              </w:rPr>
              <w:t>Seattle, WA 98101</w:t>
            </w:r>
          </w:p>
        </w:tc>
        <w:tc>
          <w:tcPr>
            <w:tcW w:w="0" w:type="dxa"/>
            <w:vAlign w:val="bottom"/>
          </w:tcPr>
          <w:p>
            <w:pPr>
              <w:spacing w:after="0"/>
              <w:rPr>
                <w:sz w:val="1"/>
                <w:szCs w:val="1"/>
                <w:color w:val="auto"/>
              </w:rPr>
            </w:pPr>
          </w:p>
        </w:tc>
      </w:tr>
      <w:tr>
        <w:trPr>
          <w:trHeight w:val="162"/>
        </w:trPr>
        <w:tc>
          <w:tcPr>
            <w:tcW w:w="2180" w:type="dxa"/>
            <w:vAlign w:val="bottom"/>
          </w:tcPr>
          <w:p>
            <w:pPr>
              <w:jc w:val="center"/>
              <w:ind w:left="88"/>
              <w:spacing w:after="0"/>
              <w:rPr>
                <w:sz w:val="20"/>
                <w:szCs w:val="20"/>
                <w:color w:val="auto"/>
              </w:rPr>
            </w:pPr>
            <w:r>
              <w:rPr>
                <w:rFonts w:ascii="Arial" w:cs="Arial" w:eastAsia="Arial" w:hAnsi="Arial"/>
                <w:sz w:val="14"/>
                <w:szCs w:val="14"/>
                <w:b w:val="1"/>
                <w:bCs w:val="1"/>
                <w:color w:val="auto"/>
                <w:w w:val="98"/>
              </w:rPr>
              <w:t>Seattle, WA 98104</w:t>
            </w:r>
          </w:p>
        </w:tc>
        <w:tc>
          <w:tcPr>
            <w:tcW w:w="1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tcPr>
          <w:p>
            <w:pPr>
              <w:jc w:val="center"/>
              <w:ind w:left="8"/>
              <w:spacing w:after="0"/>
              <w:rPr>
                <w:sz w:val="20"/>
                <w:szCs w:val="20"/>
                <w:color w:val="auto"/>
              </w:rPr>
            </w:pPr>
            <w:r>
              <w:rPr>
                <w:rFonts w:ascii="Arial" w:cs="Arial" w:eastAsia="Arial" w:hAnsi="Arial"/>
                <w:sz w:val="14"/>
                <w:szCs w:val="14"/>
                <w:b w:val="1"/>
                <w:bCs w:val="1"/>
                <w:color w:val="auto"/>
              </w:rPr>
              <w:t>(206) 452-8700</w:t>
            </w:r>
          </w:p>
        </w:tc>
        <w:tc>
          <w:tcPr>
            <w:tcW w:w="0" w:type="dxa"/>
            <w:vAlign w:val="bottom"/>
          </w:tcPr>
          <w:p>
            <w:pPr>
              <w:spacing w:after="0"/>
              <w:rPr>
                <w:sz w:val="1"/>
                <w:szCs w:val="1"/>
                <w:color w:val="auto"/>
              </w:rPr>
            </w:pPr>
          </w:p>
        </w:tc>
      </w:tr>
      <w:tr>
        <w:trPr>
          <w:trHeight w:val="202"/>
        </w:trPr>
        <w:tc>
          <w:tcPr>
            <w:tcW w:w="2180" w:type="dxa"/>
            <w:vAlign w:val="bottom"/>
          </w:tcPr>
          <w:p>
            <w:pPr>
              <w:jc w:val="center"/>
              <w:ind w:left="68"/>
              <w:spacing w:after="0"/>
              <w:rPr>
                <w:sz w:val="20"/>
                <w:szCs w:val="20"/>
                <w:color w:val="auto"/>
              </w:rPr>
            </w:pPr>
            <w:r>
              <w:rPr>
                <w:rFonts w:ascii="Arial" w:cs="Arial" w:eastAsia="Arial" w:hAnsi="Arial"/>
                <w:sz w:val="14"/>
                <w:szCs w:val="14"/>
                <w:b w:val="1"/>
                <w:bCs w:val="1"/>
                <w:color w:val="auto"/>
              </w:rPr>
              <w:t>(206) 883-2500</w:t>
            </w:r>
          </w:p>
        </w:tc>
        <w:tc>
          <w:tcPr>
            <w:tcW w:w="10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44450</wp:posOffset>
            </wp:positionV>
            <wp:extent cx="195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07" w:lineRule="exact"/>
        <w:rPr>
          <w:sz w:val="24"/>
          <w:szCs w:val="24"/>
          <w:color w:val="auto"/>
        </w:rPr>
      </w:pPr>
    </w:p>
    <w:p>
      <w:pPr>
        <w:ind w:left="50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8" w:lineRule="exact"/>
        <w:rPr>
          <w:sz w:val="24"/>
          <w:szCs w:val="24"/>
          <w:color w:val="auto"/>
        </w:rPr>
      </w:pPr>
    </w:p>
    <w:p>
      <w:pPr>
        <w:ind w:left="50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6" w:lineRule="exact"/>
        <w:rPr>
          <w:sz w:val="24"/>
          <w:szCs w:val="24"/>
          <w:color w:val="auto"/>
        </w:rPr>
      </w:pPr>
    </w:p>
    <w:p>
      <w:pPr>
        <w:ind w:right="80" w:firstLine="499"/>
        <w:spacing w:after="0" w:line="160"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340" w:firstLine="499"/>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320" w:firstLine="499"/>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firstLine="499"/>
        <w:spacing w:after="0" w:line="23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20"/>
                <w:szCs w:val="20"/>
                <w:color w:val="auto"/>
              </w:rPr>
            </w:pPr>
            <w:r>
              <w:rPr>
                <w:rFonts w:ascii="Arial" w:cs="Arial" w:eastAsia="Arial" w:hAnsi="Arial"/>
                <w:sz w:val="13"/>
                <w:szCs w:val="13"/>
                <w:b w:val="1"/>
                <w:bCs w:val="1"/>
                <w:color w:val="auto"/>
              </w:rPr>
              <w:t>Large 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Accelerated filer</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8"/>
        </w:trPr>
        <w:tc>
          <w:tcPr>
            <w:tcW w:w="2540" w:type="dxa"/>
            <w:vAlign w:val="bottom"/>
          </w:tcPr>
          <w:p>
            <w:pPr>
              <w:spacing w:after="0"/>
              <w:rPr>
                <w:sz w:val="20"/>
                <w:szCs w:val="20"/>
                <w:color w:val="auto"/>
              </w:rPr>
            </w:pPr>
            <w:r>
              <w:rPr>
                <w:rFonts w:ascii="Arial" w:cs="Arial" w:eastAsia="Arial" w:hAnsi="Arial"/>
                <w:sz w:val="13"/>
                <w:szCs w:val="13"/>
                <w:b w:val="1"/>
                <w:bCs w:val="1"/>
                <w:color w:val="auto"/>
              </w:rPr>
              <w:t>Non-accelerated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Smaller reporting company</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2540" w:type="dxa"/>
            <w:vAlign w:val="bottom"/>
          </w:tcPr>
          <w:p>
            <w:pPr>
              <w:spacing w:after="0"/>
              <w:rPr>
                <w:sz w:val="20"/>
                <w:szCs w:val="20"/>
                <w:color w:val="auto"/>
              </w:rPr>
            </w:pPr>
            <w:r>
              <w:rPr>
                <w:rFonts w:ascii="Arial" w:cs="Arial" w:eastAsia="Arial" w:hAnsi="Arial"/>
                <w:sz w:val="13"/>
                <w:szCs w:val="13"/>
                <w:b w:val="1"/>
                <w:bCs w:val="1"/>
                <w:color w:val="auto"/>
              </w:rPr>
              <w:t>Emerging growth company</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2211705</wp:posOffset>
            </wp:positionH>
            <wp:positionV relativeFrom="paragraph">
              <wp:posOffset>-282575</wp:posOffset>
            </wp:positionV>
            <wp:extent cx="60960" cy="6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-282575</wp:posOffset>
            </wp:positionV>
            <wp:extent cx="60960" cy="61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-188595</wp:posOffset>
            </wp:positionV>
            <wp:extent cx="60960" cy="61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-188595</wp:posOffset>
            </wp:positionV>
            <wp:extent cx="60960" cy="61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-93980</wp:posOffset>
            </wp:positionV>
            <wp:extent cx="60960" cy="61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23" w:lineRule="exact"/>
        <w:rPr>
          <w:sz w:val="24"/>
          <w:szCs w:val="24"/>
          <w:color w:val="auto"/>
        </w:rPr>
      </w:pPr>
    </w:p>
    <w:p>
      <w:pPr>
        <w:ind w:right="380" w:firstLine="499"/>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40640</wp:posOffset>
            </wp:positionV>
            <wp:extent cx="1954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38" w:lineRule="exact"/>
        <w:rPr>
          <w:sz w:val="24"/>
          <w:szCs w:val="24"/>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4" w:right="3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ind w:firstLine="499"/>
        <w:spacing w:after="0"/>
        <w:rPr>
          <w:sz w:val="20"/>
          <w:szCs w:val="20"/>
          <w:color w:val="auto"/>
        </w:rPr>
      </w:pPr>
      <w:r>
        <w:rPr>
          <w:rFonts w:ascii="Arial" w:cs="Arial" w:eastAsia="Arial" w:hAnsi="Arial"/>
          <w:sz w:val="18"/>
          <w:szCs w:val="18"/>
          <w:color w:val="auto"/>
        </w:rPr>
        <w:t>This Amendment No. 1 (Amendment No. 1) to the Registration Statement on Form S-1 (File No. 333-248428) of Athira Pharma, Inc. (Registration Statement) is being filed solely for the purpose of filing certain exhibits as indicated in Part II of this Amendment No. 1. This Amendment No. 1 does not modify any provision of the prospectus that forms a part of the Registration Statement. Accordingly, a preliminary prospectus has been omitted.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II</w:t>
      </w:r>
    </w:p>
    <w:p>
      <w:pPr>
        <w:spacing w:after="0" w:line="21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Estimated expenses, other than underwriting discounts and commissions, payable by the registrant in connection with the sale of the common stock being registered under this registration statement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 Paid or</w:t>
            </w:r>
          </w:p>
        </w:tc>
      </w:tr>
      <w:tr>
        <w:trPr>
          <w:trHeight w:val="177"/>
        </w:trPr>
        <w:tc>
          <w:tcPr>
            <w:tcW w:w="64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 Be Paid</w:t>
            </w:r>
          </w:p>
        </w:tc>
      </w:tr>
      <w:tr>
        <w:trPr>
          <w:trHeight w:val="210"/>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SEC registration fee</w:t>
            </w:r>
          </w:p>
        </w:tc>
        <w:tc>
          <w:tcPr>
            <w:tcW w:w="284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FINRA filing fee</w:t>
            </w:r>
          </w:p>
        </w:tc>
        <w:tc>
          <w:tcPr>
            <w:tcW w:w="28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Exchange listing fee</w:t>
            </w:r>
          </w:p>
        </w:tc>
        <w:tc>
          <w:tcPr>
            <w:tcW w:w="28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8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Legal fees and expenses</w:t>
            </w:r>
          </w:p>
        </w:tc>
        <w:tc>
          <w:tcPr>
            <w:tcW w:w="28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8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Transfer agent and registrar fees and expenses</w:t>
            </w:r>
          </w:p>
        </w:tc>
        <w:tc>
          <w:tcPr>
            <w:tcW w:w="28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w:t>
            </w:r>
          </w:p>
        </w:tc>
        <w:tc>
          <w:tcPr>
            <w:tcW w:w="2840" w:type="dxa"/>
            <w:vAlign w:val="bottom"/>
            <w:tcBorders>
              <w:bottom w:val="single" w:sz="8" w:color="CFF0FC"/>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6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83" w:lineRule="exact"/>
        <w:rPr>
          <w:sz w:val="20"/>
          <w:szCs w:val="20"/>
          <w:color w:val="auto"/>
        </w:rPr>
      </w:pPr>
    </w:p>
    <w:p>
      <w:pPr>
        <w:ind w:left="480" w:hanging="472"/>
        <w:spacing w:after="0"/>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its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redemptions or other distributions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ind w:right="80" w:firstLine="576"/>
        <w:spacing w:after="0" w:line="245"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2" w:lineRule="exact"/>
        <w:rPr>
          <w:sz w:val="20"/>
          <w:szCs w:val="20"/>
          <w:color w:val="auto"/>
        </w:rPr>
      </w:pPr>
    </w:p>
    <w:p>
      <w:pPr>
        <w:jc w:val="both"/>
        <w:ind w:right="300" w:firstLine="576"/>
        <w:spacing w:after="0" w:line="255"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16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72"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spacing w:after="0" w:line="16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 sets forth information regarding all unregistered securities sold by us since September 8, 2017:</w:t>
      </w:r>
    </w:p>
    <w:p>
      <w:pPr>
        <w:spacing w:after="0" w:line="212" w:lineRule="exact"/>
        <w:rPr>
          <w:sz w:val="20"/>
          <w:szCs w:val="20"/>
          <w:color w:val="auto"/>
        </w:rPr>
      </w:pPr>
    </w:p>
    <w:p>
      <w:pPr>
        <w:jc w:val="both"/>
        <w:ind w:right="20" w:firstLine="584"/>
        <w:spacing w:after="0" w:line="248" w:lineRule="auto"/>
        <w:tabs>
          <w:tab w:leader="none" w:pos="846" w:val="left"/>
        </w:tabs>
        <w:numPr>
          <w:ilvl w:val="0"/>
          <w:numId w:val="2"/>
        </w:numPr>
        <w:rPr>
          <w:rFonts w:ascii="Arial" w:cs="Arial" w:eastAsia="Arial" w:hAnsi="Arial"/>
          <w:sz w:val="18"/>
          <w:szCs w:val="18"/>
          <w:color w:val="auto"/>
        </w:rPr>
      </w:pPr>
      <w:r>
        <w:rPr>
          <w:rFonts w:ascii="Arial" w:cs="Arial" w:eastAsia="Arial" w:hAnsi="Arial"/>
          <w:sz w:val="18"/>
          <w:szCs w:val="18"/>
          <w:color w:val="auto"/>
        </w:rPr>
        <w:t>From September 8, 2017 through September 8, 2020, we granted 6,465,000 options to purchase shares of our common stock to our employees, directors and consultants at a weighted-average exercise price of $0.17 per share under our 2014 Equity Incentive Plan, or 2014 Plan. We also issued and sold an aggregate of 7,572,500 shares of our common stock to our employees, directors and consultants at a weighted-average exercise price of $0.10 per share pursuant to exercises of options granted under our 2014 Plan.</w:t>
      </w:r>
    </w:p>
    <w:p>
      <w:pPr>
        <w:spacing w:after="0" w:line="170" w:lineRule="exact"/>
        <w:rPr>
          <w:rFonts w:ascii="Arial" w:cs="Arial" w:eastAsia="Arial" w:hAnsi="Arial"/>
          <w:sz w:val="18"/>
          <w:szCs w:val="18"/>
          <w:color w:val="auto"/>
        </w:rPr>
      </w:pPr>
    </w:p>
    <w:p>
      <w:pPr>
        <w:ind w:right="740" w:firstLine="584"/>
        <w:spacing w:after="0" w:line="276" w:lineRule="auto"/>
        <w:tabs>
          <w:tab w:leader="none" w:pos="846" w:val="left"/>
        </w:tabs>
        <w:numPr>
          <w:ilvl w:val="0"/>
          <w:numId w:val="2"/>
        </w:numPr>
        <w:rPr>
          <w:rFonts w:ascii="Arial" w:cs="Arial" w:eastAsia="Arial" w:hAnsi="Arial"/>
          <w:sz w:val="18"/>
          <w:szCs w:val="18"/>
          <w:color w:val="auto"/>
        </w:rPr>
      </w:pPr>
      <w:r>
        <w:rPr>
          <w:rFonts w:ascii="Arial" w:cs="Arial" w:eastAsia="Arial" w:hAnsi="Arial"/>
          <w:sz w:val="18"/>
          <w:szCs w:val="18"/>
          <w:color w:val="auto"/>
        </w:rPr>
        <w:t>From December 17, 2018 through January 13, 2020, we issued and sold subordinated convertible promissory notes in an aggregate principal amount of $3.8 million.</w:t>
      </w:r>
    </w:p>
    <w:p>
      <w:pPr>
        <w:spacing w:after="0" w:line="144" w:lineRule="exact"/>
        <w:rPr>
          <w:rFonts w:ascii="Arial" w:cs="Arial" w:eastAsia="Arial" w:hAnsi="Arial"/>
          <w:sz w:val="18"/>
          <w:szCs w:val="18"/>
          <w:color w:val="auto"/>
        </w:rPr>
      </w:pPr>
    </w:p>
    <w:p>
      <w:pPr>
        <w:ind w:right="500" w:firstLine="584"/>
        <w:spacing w:after="0" w:line="276" w:lineRule="auto"/>
        <w:tabs>
          <w:tab w:leader="none" w:pos="836" w:val="left"/>
        </w:tabs>
        <w:numPr>
          <w:ilvl w:val="0"/>
          <w:numId w:val="2"/>
        </w:numPr>
        <w:rPr>
          <w:rFonts w:ascii="Arial" w:cs="Arial" w:eastAsia="Arial" w:hAnsi="Arial"/>
          <w:sz w:val="18"/>
          <w:szCs w:val="18"/>
          <w:color w:val="auto"/>
        </w:rPr>
      </w:pPr>
      <w:r>
        <w:rPr>
          <w:rFonts w:ascii="Arial" w:cs="Arial" w:eastAsia="Arial" w:hAnsi="Arial"/>
          <w:sz w:val="18"/>
          <w:szCs w:val="18"/>
          <w:color w:val="auto"/>
        </w:rPr>
        <w:t>From October 17, 2017 to March 13, 2018, we issued and sold an aggregate of 3,313,220 shares of our Series A convertible preferred stock at a purchase price of $1.25 per share, for aggregate consideration of approximately $4.1 million.</w:t>
      </w:r>
    </w:p>
    <w:p>
      <w:pPr>
        <w:spacing w:after="0" w:line="144" w:lineRule="exact"/>
        <w:rPr>
          <w:rFonts w:ascii="Arial" w:cs="Arial" w:eastAsia="Arial" w:hAnsi="Arial"/>
          <w:sz w:val="18"/>
          <w:szCs w:val="18"/>
          <w:color w:val="auto"/>
        </w:rPr>
      </w:pPr>
    </w:p>
    <w:p>
      <w:pPr>
        <w:ind w:right="140" w:firstLine="584"/>
        <w:spacing w:after="0" w:line="276" w:lineRule="auto"/>
        <w:tabs>
          <w:tab w:leader="none" w:pos="84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November 2018, we issued 100,000 restricted shares of our common stock to an advisory board member as compensation for services provided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600" w:firstLine="584"/>
        <w:spacing w:after="0" w:line="276" w:lineRule="auto"/>
        <w:tabs>
          <w:tab w:leader="none" w:pos="846"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29, 2020, we issued and sold an aggregate of 4,067,148 shares of our Series B-1 convertible preferred stock upon conversion of approximately $4.0 million in outstanding convertible notes, at a conversion price of $0.98 per share.</w:t>
      </w:r>
    </w:p>
    <w:p>
      <w:pPr>
        <w:spacing w:after="0" w:line="144" w:lineRule="exact"/>
        <w:rPr>
          <w:rFonts w:ascii="Arial" w:cs="Arial" w:eastAsia="Arial" w:hAnsi="Arial"/>
          <w:sz w:val="18"/>
          <w:szCs w:val="18"/>
          <w:color w:val="auto"/>
        </w:rPr>
      </w:pPr>
    </w:p>
    <w:p>
      <w:pPr>
        <w:ind w:right="120" w:firstLine="584"/>
        <w:spacing w:after="0" w:line="243" w:lineRule="auto"/>
        <w:tabs>
          <w:tab w:leader="none" w:pos="796"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From May 29, 2020 through June 23, 2020, we issued and sold an aggregate of 74,328,105 shares of our Series B convertible preferred stock at a purchase price of $1.15 per share, for aggregate consideration of approximately $85.5 million. Concurrently with these issuances, we also issued and sold warrants to purchase 18,582,009 shares of our common stock at an exercise price of $0.01 per share to the purchasers of our Series B convertible preferred stock. Each purchaser of our Series B convertible preferred stock received warrants to purchase a number of shares of our common stock equal to 25% of the number of shares of our Series B convertible preferred stock purchased by such purchaser in the transaction.</w:t>
      </w:r>
    </w:p>
    <w:p>
      <w:pPr>
        <w:spacing w:after="0" w:line="173" w:lineRule="exact"/>
        <w:rPr>
          <w:rFonts w:ascii="Arial" w:cs="Arial" w:eastAsia="Arial" w:hAnsi="Arial"/>
          <w:sz w:val="18"/>
          <w:szCs w:val="18"/>
          <w:color w:val="auto"/>
        </w:rPr>
      </w:pPr>
    </w:p>
    <w:p>
      <w:pPr>
        <w:ind w:right="60" w:firstLine="584"/>
        <w:spacing w:after="0" w:line="276" w:lineRule="auto"/>
        <w:tabs>
          <w:tab w:leader="none" w:pos="846"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29, 2020, we issued warrants to purchase up to 1,010,955 shares of our Series B convertible preferred stock to JMP Securities LLC, in partial consideration for their services in connection with the sale and issuance of our Series B convertible preferred stock.</w:t>
      </w:r>
    </w:p>
    <w:p>
      <w:pPr>
        <w:spacing w:after="0" w:line="138" w:lineRule="exact"/>
        <w:rPr>
          <w:rFonts w:ascii="Arial" w:cs="Arial" w:eastAsia="Arial" w:hAnsi="Arial"/>
          <w:sz w:val="18"/>
          <w:szCs w:val="18"/>
          <w:color w:val="auto"/>
        </w:rPr>
      </w:pPr>
    </w:p>
    <w:p>
      <w:pPr>
        <w:ind w:right="300" w:firstLine="584"/>
        <w:spacing w:after="0" w:line="286" w:lineRule="auto"/>
        <w:tabs>
          <w:tab w:leader="none" w:pos="846"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From May 29, 2020 to September 4, 2020</w:t>
      </w:r>
      <w:r>
        <w:rPr>
          <w:rFonts w:ascii="Arial" w:cs="Arial" w:eastAsia="Arial" w:hAnsi="Arial"/>
          <w:sz w:val="19"/>
          <w:szCs w:val="19"/>
          <w:color w:val="auto"/>
        </w:rPr>
        <w:t>,</w:t>
      </w:r>
      <w:r>
        <w:rPr>
          <w:rFonts w:ascii="Arial" w:cs="Arial" w:eastAsia="Arial" w:hAnsi="Arial"/>
          <w:sz w:val="18"/>
          <w:szCs w:val="18"/>
          <w:color w:val="auto"/>
        </w:rPr>
        <w:t xml:space="preserve"> we issued an aggregate of 8,543,476 shares of our common stock upon exercise of warrants to purchase shares of our common stock, at an exercise price of $0.01 per share.</w:t>
      </w:r>
    </w:p>
    <w:p>
      <w:pPr>
        <w:spacing w:after="0" w:line="134" w:lineRule="exact"/>
        <w:rPr>
          <w:rFonts w:ascii="Arial" w:cs="Arial" w:eastAsia="Arial" w:hAnsi="Arial"/>
          <w:sz w:val="18"/>
          <w:szCs w:val="18"/>
          <w:color w:val="auto"/>
        </w:rPr>
      </w:pPr>
    </w:p>
    <w:p>
      <w:pPr>
        <w:ind w:left="800" w:hanging="21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August 26, 2020, we issued a warrant to purchase up to 55,000 shares of our common stock at an exercise price per share of</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$1.20.</w:t>
      </w:r>
    </w:p>
    <w:p>
      <w:pPr>
        <w:spacing w:after="0" w:line="190"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45"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The offers, sales and issuances of the securities described in Items 15(b), (c), (e), (f), (g), (h) and (i)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and had adequate access, through employment, business or other relationships, to information about the registrant.</w:t>
      </w:r>
    </w:p>
    <w:p>
      <w:pPr>
        <w:spacing w:after="0" w:line="17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offers, sales and issuances of the securities described in Item 15(a) and (d) were exempt from registration under the Securities Act under Section 4(a)(2) of the Securities Act in that such sales did not involve a public offering or under Rule 701 in that the transactions were under compensatory benefit plans and contracts relating to compensation as provided under Rule 701. The recipients of such securities were the registrant’s employees, consultants or directors and received the securities under the registrant’s 2014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8220" w:type="dxa"/>
            <w:vAlign w:val="bottom"/>
            <w:tcBorders>
              <w:bottom w:val="single" w:sz="8" w:color="auto"/>
            </w:tcBorders>
            <w:gridSpan w:val="4"/>
          </w:tcPr>
          <w:p>
            <w:pPr>
              <w:ind w:left="28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5"/>
                <w:szCs w:val="15"/>
                <w:color w:val="auto"/>
              </w:rPr>
            </w:pPr>
          </w:p>
        </w:tc>
      </w:tr>
      <w:tr>
        <w:trPr>
          <w:trHeight w:val="335"/>
        </w:trPr>
        <w:tc>
          <w:tcPr>
            <w:tcW w:w="1300" w:type="dxa"/>
            <w:vAlign w:val="bottom"/>
          </w:tcPr>
          <w:p>
            <w:pPr>
              <w:ind w:lef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Form of Underwriting Agreement</w:t>
              </w:r>
            </w:hyperlink>
          </w:p>
        </w:tc>
        <w:tc>
          <w:tcPr>
            <w:tcW w:w="20" w:type="dxa"/>
            <w:vAlign w:val="bottom"/>
          </w:tcPr>
          <w:p>
            <w:pPr>
              <w:spacing w:after="0"/>
              <w:rPr>
                <w:sz w:val="24"/>
                <w:szCs w:val="24"/>
                <w:color w:val="auto"/>
              </w:rPr>
            </w:pPr>
          </w:p>
        </w:tc>
      </w:tr>
      <w:tr>
        <w:trPr>
          <w:trHeight w:val="338"/>
        </w:trPr>
        <w:tc>
          <w:tcPr>
            <w:tcW w:w="1300" w:type="dxa"/>
            <w:vAlign w:val="bottom"/>
          </w:tcPr>
          <w:p>
            <w:pPr>
              <w:ind w:lef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Form of Amended and Restated Certificate of Incorporation, to be effective upon completion of the offering</w:t>
              </w:r>
            </w:hyperlink>
          </w:p>
        </w:tc>
        <w:tc>
          <w:tcPr>
            <w:tcW w:w="20" w:type="dxa"/>
            <w:vAlign w:val="bottom"/>
          </w:tcPr>
          <w:p>
            <w:pPr>
              <w:spacing w:after="0"/>
              <w:rPr>
                <w:sz w:val="24"/>
                <w:szCs w:val="24"/>
                <w:color w:val="auto"/>
              </w:rPr>
            </w:pPr>
          </w:p>
        </w:tc>
      </w:tr>
      <w:tr>
        <w:trPr>
          <w:trHeight w:val="338"/>
        </w:trPr>
        <w:tc>
          <w:tcPr>
            <w:tcW w:w="1300" w:type="dxa"/>
            <w:vAlign w:val="bottom"/>
          </w:tcPr>
          <w:p>
            <w:pPr>
              <w:ind w:lef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Form of Amended and Restated Bylaws, to be effective upon completion of the offering</w:t>
              </w:r>
            </w:hyperlink>
          </w:p>
        </w:tc>
        <w:tc>
          <w:tcPr>
            <w:tcW w:w="20" w:type="dxa"/>
            <w:vAlign w:val="bottom"/>
          </w:tcPr>
          <w:p>
            <w:pPr>
              <w:spacing w:after="0"/>
              <w:rPr>
                <w:sz w:val="24"/>
                <w:szCs w:val="24"/>
                <w:color w:val="auto"/>
              </w:rPr>
            </w:pPr>
          </w:p>
        </w:tc>
      </w:tr>
      <w:tr>
        <w:trPr>
          <w:trHeight w:val="338"/>
        </w:trPr>
        <w:tc>
          <w:tcPr>
            <w:tcW w:w="1300" w:type="dxa"/>
            <w:vAlign w:val="bottom"/>
          </w:tcPr>
          <w:p>
            <w:pPr>
              <w:ind w:lef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Specimen Common Stock Certificate of the Registrant</w:t>
            </w:r>
          </w:p>
        </w:tc>
        <w:tc>
          <w:tcPr>
            <w:tcW w:w="20" w:type="dxa"/>
            <w:vAlign w:val="bottom"/>
          </w:tcPr>
          <w:p>
            <w:pPr>
              <w:spacing w:after="0"/>
              <w:rPr>
                <w:sz w:val="24"/>
                <w:szCs w:val="24"/>
                <w:color w:val="auto"/>
              </w:rPr>
            </w:pPr>
          </w:p>
        </w:tc>
      </w:tr>
      <w:tr>
        <w:trPr>
          <w:trHeight w:val="293"/>
        </w:trPr>
        <w:tc>
          <w:tcPr>
            <w:tcW w:w="1300" w:type="dxa"/>
            <w:vAlign w:val="bottom"/>
          </w:tcPr>
          <w:p>
            <w:pPr>
              <w:ind w:lef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Investors’ Rights Agreement, dated May 29, 2020, as amended, by and among the Registrant and the Investors and Key</w:t>
              </w:r>
            </w:hyperlink>
          </w:p>
        </w:tc>
        <w:tc>
          <w:tcPr>
            <w:tcW w:w="20" w:type="dxa"/>
            <w:vAlign w:val="bottom"/>
          </w:tcPr>
          <w:p>
            <w:pPr>
              <w:spacing w:after="0"/>
              <w:rPr>
                <w:sz w:val="24"/>
                <w:szCs w:val="24"/>
                <w:color w:val="auto"/>
              </w:rPr>
            </w:pPr>
          </w:p>
        </w:tc>
      </w:tr>
      <w:tr>
        <w:trPr>
          <w:trHeight w:val="183"/>
        </w:trPr>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Holders party thereto</w:t>
              </w:r>
            </w:hyperlink>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9"/>
        </w:trPr>
        <w:tc>
          <w:tcPr>
            <w:tcW w:w="1300" w:type="dxa"/>
            <w:vAlign w:val="bottom"/>
          </w:tcPr>
          <w:p>
            <w:pPr>
              <w:ind w:lef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Form of Warrant to Purchase Series B Preferred Stock</w:t>
              </w:r>
            </w:hyperlink>
          </w:p>
        </w:tc>
        <w:tc>
          <w:tcPr>
            <w:tcW w:w="20" w:type="dxa"/>
            <w:vAlign w:val="bottom"/>
          </w:tcPr>
          <w:p>
            <w:pPr>
              <w:spacing w:after="0"/>
              <w:rPr>
                <w:sz w:val="24"/>
                <w:szCs w:val="24"/>
                <w:color w:val="auto"/>
              </w:rPr>
            </w:pPr>
          </w:p>
        </w:tc>
      </w:tr>
      <w:tr>
        <w:trPr>
          <w:trHeight w:val="337"/>
        </w:trPr>
        <w:tc>
          <w:tcPr>
            <w:tcW w:w="1300" w:type="dxa"/>
            <w:vAlign w:val="bottom"/>
          </w:tcPr>
          <w:p>
            <w:pPr>
              <w:ind w:lef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Form of Warrant to Purchase Common Stock</w:t>
              </w:r>
            </w:hyperlink>
          </w:p>
        </w:tc>
        <w:tc>
          <w:tcPr>
            <w:tcW w:w="20" w:type="dxa"/>
            <w:vAlign w:val="bottom"/>
          </w:tcPr>
          <w:p>
            <w:pPr>
              <w:spacing w:after="0"/>
              <w:rPr>
                <w:sz w:val="24"/>
                <w:szCs w:val="24"/>
                <w:color w:val="auto"/>
              </w:rPr>
            </w:pPr>
          </w:p>
        </w:tc>
      </w:tr>
      <w:tr>
        <w:trPr>
          <w:trHeight w:val="338"/>
        </w:trPr>
        <w:tc>
          <w:tcPr>
            <w:tcW w:w="1300" w:type="dxa"/>
            <w:vAlign w:val="bottom"/>
          </w:tcPr>
          <w:p>
            <w:pPr>
              <w:ind w:lef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Warrant to Purchase Common Stock of the Registrant, dated April 8, 2013</w:t>
              </w:r>
            </w:hyperlink>
          </w:p>
        </w:tc>
        <w:tc>
          <w:tcPr>
            <w:tcW w:w="20" w:type="dxa"/>
            <w:vAlign w:val="bottom"/>
          </w:tcPr>
          <w:p>
            <w:pPr>
              <w:spacing w:after="0"/>
              <w:rPr>
                <w:sz w:val="24"/>
                <w:szCs w:val="24"/>
                <w:color w:val="auto"/>
              </w:rPr>
            </w:pPr>
          </w:p>
        </w:tc>
      </w:tr>
      <w:tr>
        <w:trPr>
          <w:trHeight w:val="338"/>
        </w:trPr>
        <w:tc>
          <w:tcPr>
            <w:tcW w:w="1300" w:type="dxa"/>
            <w:vAlign w:val="bottom"/>
          </w:tcPr>
          <w:p>
            <w:pPr>
              <w:ind w:lef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Warrant to Purchase Common Stock of the Registrant, dated August 26, 2020</w:t>
              </w:r>
            </w:hyperlink>
          </w:p>
        </w:tc>
        <w:tc>
          <w:tcPr>
            <w:tcW w:w="20" w:type="dxa"/>
            <w:vAlign w:val="bottom"/>
          </w:tcPr>
          <w:p>
            <w:pPr>
              <w:spacing w:after="0"/>
              <w:rPr>
                <w:sz w:val="24"/>
                <w:szCs w:val="24"/>
                <w:color w:val="auto"/>
              </w:rPr>
            </w:pPr>
          </w:p>
        </w:tc>
      </w:tr>
      <w:tr>
        <w:trPr>
          <w:trHeight w:val="338"/>
        </w:trPr>
        <w:tc>
          <w:tcPr>
            <w:tcW w:w="1300" w:type="dxa"/>
            <w:vAlign w:val="bottom"/>
          </w:tcPr>
          <w:p>
            <w:pPr>
              <w:ind w:lef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Form of Director and Executive Officer Indemnification Agreement</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2014 Equity Incentive Plan, as amended</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Form of Stock Option Agreement under the 2014 Equity Incentive Plan</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Form of Restricted Share Award under the 2014 Equity Incentive Plan</w:t>
              </w:r>
            </w:hyperlink>
          </w:p>
        </w:tc>
        <w:tc>
          <w:tcPr>
            <w:tcW w:w="20" w:type="dxa"/>
            <w:vAlign w:val="bottom"/>
          </w:tcPr>
          <w:p>
            <w:pPr>
              <w:spacing w:after="0"/>
              <w:rPr>
                <w:sz w:val="24"/>
                <w:szCs w:val="24"/>
                <w:color w:val="auto"/>
              </w:rPr>
            </w:pPr>
          </w:p>
        </w:tc>
      </w:tr>
      <w:tr>
        <w:trPr>
          <w:trHeight w:val="337"/>
        </w:trPr>
        <w:tc>
          <w:tcPr>
            <w:tcW w:w="1300" w:type="dxa"/>
            <w:vAlign w:val="bottom"/>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316">
              <w:r>
                <w:rPr>
                  <w:rFonts w:ascii="Arial" w:cs="Arial" w:eastAsia="Arial" w:hAnsi="Arial"/>
                  <w:sz w:val="18"/>
                  <w:szCs w:val="18"/>
                  <w:u w:val="single" w:color="auto"/>
                  <w:color w:val="0000EE"/>
                </w:rPr>
                <w:t>2020 Equity Incentive Plan</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336">
              <w:r>
                <w:rPr>
                  <w:rFonts w:ascii="Arial" w:cs="Arial" w:eastAsia="Arial" w:hAnsi="Arial"/>
                  <w:sz w:val="18"/>
                  <w:szCs w:val="18"/>
                  <w:u w:val="single" w:color="auto"/>
                  <w:color w:val="0000EE"/>
                </w:rPr>
                <w:t>Form of Stock Option Agreement under the 2020 Equity Incentive Plan</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350">
              <w:r>
                <w:rPr>
                  <w:rFonts w:ascii="Arial" w:cs="Arial" w:eastAsia="Arial" w:hAnsi="Arial"/>
                  <w:sz w:val="18"/>
                  <w:szCs w:val="18"/>
                  <w:u w:val="single" w:color="auto"/>
                  <w:color w:val="0000EE"/>
                </w:rPr>
                <w:t>Form of Restricted Stock Award Agreement under the 2020 Equity Incentive Plan</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363">
              <w:r>
                <w:rPr>
                  <w:rFonts w:ascii="Arial" w:cs="Arial" w:eastAsia="Arial" w:hAnsi="Arial"/>
                  <w:sz w:val="18"/>
                  <w:szCs w:val="18"/>
                  <w:u w:val="single" w:color="auto"/>
                  <w:color w:val="0000EE"/>
                </w:rPr>
                <w:t>Form of RSU Agreement under the 2020 Equity Incentive Plan</w:t>
              </w:r>
            </w:hyperlink>
          </w:p>
        </w:tc>
        <w:tc>
          <w:tcPr>
            <w:tcW w:w="20" w:type="dxa"/>
            <w:vAlign w:val="bottom"/>
          </w:tcPr>
          <w:p>
            <w:pPr>
              <w:spacing w:after="0"/>
              <w:rPr>
                <w:sz w:val="24"/>
                <w:szCs w:val="24"/>
                <w:color w:val="auto"/>
              </w:rPr>
            </w:pPr>
          </w:p>
        </w:tc>
      </w:tr>
      <w:tr>
        <w:trPr>
          <w:trHeight w:val="293"/>
        </w:trPr>
        <w:tc>
          <w:tcPr>
            <w:tcW w:w="130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color w:val="0000EE"/>
              </w:rPr>
            </w:pPr>
            <w:hyperlink r:id="rId32">
              <w:r>
                <w:rPr>
                  <w:rFonts w:ascii="Arial" w:cs="Arial" w:eastAsia="Arial" w:hAnsi="Arial"/>
                  <w:sz w:val="18"/>
                  <w:szCs w:val="18"/>
                  <w:color w:val="0000EE"/>
                </w:rPr>
                <w:t>Amended and Restated Standard Exclusive Licensing Agreement with Sublicensing Terms, dated October 28, 2015, by and</w:t>
              </w:r>
            </w:hyperlink>
          </w:p>
        </w:tc>
        <w:tc>
          <w:tcPr>
            <w:tcW w:w="20" w:type="dxa"/>
            <w:vAlign w:val="bottom"/>
          </w:tcPr>
          <w:p>
            <w:pPr>
              <w:spacing w:after="0"/>
              <w:rPr>
                <w:sz w:val="24"/>
                <w:szCs w:val="24"/>
                <w:color w:val="auto"/>
              </w:rPr>
            </w:pPr>
          </w:p>
        </w:tc>
      </w:tr>
      <w:tr>
        <w:trPr>
          <w:trHeight w:val="183"/>
        </w:trPr>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32">
              <w:r>
                <w:rPr>
                  <w:rFonts w:ascii="Arial" w:cs="Arial" w:eastAsia="Arial" w:hAnsi="Arial"/>
                  <w:sz w:val="18"/>
                  <w:szCs w:val="18"/>
                  <w:color w:val="0000EE"/>
                  <w:w w:val="99"/>
                </w:rPr>
                <w:t>between the Registrant and Washington State University, and amendments thereto</w:t>
              </w:r>
            </w:hyperlink>
          </w:p>
        </w:tc>
        <w:tc>
          <w:tcPr>
            <w:tcW w:w="3240" w:type="dxa"/>
            <w:vAlign w:val="bottom"/>
            <w:tcBorders>
              <w:top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8"/>
        </w:trPr>
        <w:tc>
          <w:tcPr>
            <w:tcW w:w="1300" w:type="dxa"/>
            <w:vAlign w:val="bottom"/>
          </w:tcPr>
          <w:p>
            <w:pPr>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375">
              <w:r>
                <w:rPr>
                  <w:rFonts w:ascii="Arial" w:cs="Arial" w:eastAsia="Arial" w:hAnsi="Arial"/>
                  <w:sz w:val="18"/>
                  <w:szCs w:val="18"/>
                  <w:u w:val="single" w:color="auto"/>
                  <w:color w:val="0000EE"/>
                </w:rPr>
                <w:t>2020 Employee Stock Purchase Plan and Form of Subscription Agreement thereunder</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400">
              <w:r>
                <w:rPr>
                  <w:rFonts w:ascii="Arial" w:cs="Arial" w:eastAsia="Arial" w:hAnsi="Arial"/>
                  <w:sz w:val="18"/>
                  <w:szCs w:val="18"/>
                  <w:u w:val="single" w:color="auto"/>
                  <w:color w:val="0000EE"/>
                </w:rPr>
                <w:t>Lease Agreement, dated July 20, 2020, by and between the Registrant and North Creek Parkway Center Investors, LP</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10.12+</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475">
              <w:r>
                <w:rPr>
                  <w:rFonts w:ascii="Arial" w:cs="Arial" w:eastAsia="Arial" w:hAnsi="Arial"/>
                  <w:sz w:val="18"/>
                  <w:szCs w:val="18"/>
                  <w:u w:val="single" w:color="auto"/>
                  <w:color w:val="0000EE"/>
                </w:rPr>
                <w:t>Outside Director Compensation Policy</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479">
              <w:r>
                <w:rPr>
                  <w:rFonts w:ascii="Arial" w:cs="Arial" w:eastAsia="Arial" w:hAnsi="Arial"/>
                  <w:sz w:val="18"/>
                  <w:szCs w:val="18"/>
                  <w:u w:val="single" w:color="auto"/>
                  <w:color w:val="0000EE"/>
                </w:rPr>
                <w:t>Executive Incentive Compensation Plan</w:t>
              </w:r>
            </w:hyperlink>
          </w:p>
        </w:tc>
        <w:tc>
          <w:tcPr>
            <w:tcW w:w="20" w:type="dxa"/>
            <w:vAlign w:val="bottom"/>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486">
              <w:r>
                <w:rPr>
                  <w:rFonts w:ascii="Arial" w:cs="Arial" w:eastAsia="Arial" w:hAnsi="Arial"/>
                  <w:sz w:val="18"/>
                  <w:szCs w:val="18"/>
                  <w:u w:val="single" w:color="auto"/>
                  <w:color w:val="0000EE"/>
                </w:rPr>
                <w:t>Confirmatory Employment Letter between the Registrant and Leen Kawas, Ph.D.</w:t>
              </w:r>
            </w:hyperlink>
          </w:p>
        </w:tc>
        <w:tc>
          <w:tcPr>
            <w:tcW w:w="20" w:type="dxa"/>
            <w:vAlign w:val="bottom"/>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492">
              <w:r>
                <w:rPr>
                  <w:rFonts w:ascii="Arial" w:cs="Arial" w:eastAsia="Arial" w:hAnsi="Arial"/>
                  <w:sz w:val="18"/>
                  <w:szCs w:val="18"/>
                  <w:u w:val="single" w:color="auto"/>
                  <w:color w:val="0000EE"/>
                </w:rPr>
                <w:t>Confirmatory Employment Letter between the Registrant and Mark Litton, Ph.D.</w:t>
              </w:r>
            </w:hyperlink>
          </w:p>
        </w:tc>
        <w:tc>
          <w:tcPr>
            <w:tcW w:w="20" w:type="dxa"/>
            <w:vAlign w:val="bottom"/>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498">
              <w:r>
                <w:rPr>
                  <w:rFonts w:ascii="Arial" w:cs="Arial" w:eastAsia="Arial" w:hAnsi="Arial"/>
                  <w:sz w:val="18"/>
                  <w:szCs w:val="18"/>
                  <w:u w:val="single" w:color="auto"/>
                  <w:color w:val="0000EE"/>
                </w:rPr>
                <w:t>Confirmatory Employment Letter between the Registrant and Kevin Church, Ph.D.</w:t>
              </w:r>
            </w:hyperlink>
          </w:p>
        </w:tc>
        <w:tc>
          <w:tcPr>
            <w:tcW w:w="20" w:type="dxa"/>
            <w:vAlign w:val="bottom"/>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u w:val="single" w:color="auto"/>
                <w:color w:val="0000EE"/>
              </w:rPr>
            </w:pPr>
            <w:hyperlink w:anchor="page504">
              <w:r>
                <w:rPr>
                  <w:rFonts w:ascii="Arial" w:cs="Arial" w:eastAsia="Arial" w:hAnsi="Arial"/>
                  <w:sz w:val="18"/>
                  <w:szCs w:val="18"/>
                  <w:u w:val="single" w:color="auto"/>
                  <w:color w:val="0000EE"/>
                </w:rPr>
                <w:t>Confirmatory Employment Letter between the Registrant and Glenna Mileson</w:t>
              </w:r>
            </w:hyperlink>
          </w:p>
        </w:tc>
        <w:tc>
          <w:tcPr>
            <w:tcW w:w="20" w:type="dxa"/>
            <w:vAlign w:val="bottom"/>
          </w:tcPr>
          <w:p>
            <w:pPr>
              <w:spacing w:after="0"/>
              <w:rPr>
                <w:sz w:val="24"/>
                <w:szCs w:val="24"/>
                <w:color w:val="auto"/>
              </w:rPr>
            </w:pPr>
          </w:p>
        </w:tc>
      </w:tr>
      <w:tr>
        <w:trPr>
          <w:trHeight w:val="111"/>
        </w:trPr>
        <w:tc>
          <w:tcPr>
            <w:tcW w:w="1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8000" w:type="dxa"/>
            <w:vAlign w:val="bottom"/>
          </w:tcPr>
          <w:p>
            <w:pPr>
              <w:ind w:left="360"/>
              <w:spacing w:after="0"/>
              <w:rPr>
                <w:rFonts w:ascii="Arial" w:cs="Arial" w:eastAsia="Arial" w:hAnsi="Arial"/>
                <w:sz w:val="18"/>
                <w:szCs w:val="18"/>
                <w:u w:val="single" w:color="auto"/>
                <w:color w:val="0000EE"/>
              </w:rPr>
            </w:pPr>
            <w:hyperlink w:anchor="page510">
              <w:r>
                <w:rPr>
                  <w:rFonts w:ascii="Arial" w:cs="Arial" w:eastAsia="Arial" w:hAnsi="Arial"/>
                  <w:sz w:val="18"/>
                  <w:szCs w:val="18"/>
                  <w:u w:val="single" w:color="auto"/>
                  <w:color w:val="0000EE"/>
                </w:rPr>
                <w:t>Change in Control and Severance Agreement between the Registrant and Leen Kawas, Ph.D.</w:t>
              </w:r>
            </w:hyperlink>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8000" w:type="dxa"/>
            <w:vAlign w:val="bottom"/>
          </w:tcPr>
          <w:p>
            <w:pPr>
              <w:ind w:left="360"/>
              <w:spacing w:after="0"/>
              <w:rPr>
                <w:rFonts w:ascii="Arial" w:cs="Arial" w:eastAsia="Arial" w:hAnsi="Arial"/>
                <w:sz w:val="18"/>
                <w:szCs w:val="18"/>
                <w:u w:val="single" w:color="auto"/>
                <w:color w:val="0000EE"/>
              </w:rPr>
            </w:pPr>
            <w:hyperlink w:anchor="page523">
              <w:r>
                <w:rPr>
                  <w:rFonts w:ascii="Arial" w:cs="Arial" w:eastAsia="Arial" w:hAnsi="Arial"/>
                  <w:sz w:val="18"/>
                  <w:szCs w:val="18"/>
                  <w:u w:val="single" w:color="auto"/>
                  <w:color w:val="0000EE"/>
                </w:rPr>
                <w:t>Change in Control and Severance Agreement between the Registrant and Mark Litton, Ph.D.</w:t>
              </w:r>
            </w:hyperlink>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10.20+</w:t>
            </w:r>
          </w:p>
        </w:tc>
        <w:tc>
          <w:tcPr>
            <w:tcW w:w="8000" w:type="dxa"/>
            <w:vAlign w:val="bottom"/>
          </w:tcPr>
          <w:p>
            <w:pPr>
              <w:ind w:left="360"/>
              <w:spacing w:after="0"/>
              <w:rPr>
                <w:rFonts w:ascii="Arial" w:cs="Arial" w:eastAsia="Arial" w:hAnsi="Arial"/>
                <w:sz w:val="18"/>
                <w:szCs w:val="18"/>
                <w:u w:val="single" w:color="auto"/>
                <w:color w:val="0000EE"/>
              </w:rPr>
            </w:pPr>
            <w:hyperlink w:anchor="page536">
              <w:r>
                <w:rPr>
                  <w:rFonts w:ascii="Arial" w:cs="Arial" w:eastAsia="Arial" w:hAnsi="Arial"/>
                  <w:sz w:val="18"/>
                  <w:szCs w:val="18"/>
                  <w:u w:val="single" w:color="auto"/>
                  <w:color w:val="0000EE"/>
                </w:rPr>
                <w:t>Change in Control and Severance Agreement between the Registrant and Glenna Mileson</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8000" w:type="dxa"/>
            <w:vAlign w:val="bottom"/>
          </w:tcPr>
          <w:p>
            <w:pPr>
              <w:ind w:left="360"/>
              <w:spacing w:after="0"/>
              <w:rPr>
                <w:sz w:val="20"/>
                <w:szCs w:val="20"/>
                <w:color w:val="auto"/>
              </w:rPr>
            </w:pPr>
            <w:r>
              <w:rPr>
                <w:rFonts w:ascii="Arial" w:cs="Arial" w:eastAsia="Arial" w:hAnsi="Arial"/>
                <w:sz w:val="18"/>
                <w:szCs w:val="18"/>
                <w:color w:val="auto"/>
              </w:rPr>
              <w:t>Employment Offer Letter between the Registrant and Hans Moebius, Ph.D.</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8000" w:type="dxa"/>
            <w:vAlign w:val="bottom"/>
          </w:tcPr>
          <w:p>
            <w:pPr>
              <w:ind w:left="360"/>
              <w:spacing w:after="0"/>
              <w:rPr>
                <w:sz w:val="20"/>
                <w:szCs w:val="20"/>
                <w:color w:val="auto"/>
              </w:rPr>
            </w:pPr>
            <w:r>
              <w:rPr>
                <w:rFonts w:ascii="Arial" w:cs="Arial" w:eastAsia="Arial" w:hAnsi="Arial"/>
                <w:sz w:val="18"/>
                <w:szCs w:val="18"/>
                <w:color w:val="auto"/>
                <w:w w:val="99"/>
              </w:rPr>
              <w:t>Change in Control and Severance Agreement between the Registrant and Hans Moebius, Ph.D.</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21.1</w:t>
            </w:r>
          </w:p>
        </w:tc>
        <w:tc>
          <w:tcPr>
            <w:tcW w:w="8000" w:type="dxa"/>
            <w:vAlign w:val="bottom"/>
          </w:tcPr>
          <w:p>
            <w:pPr>
              <w:ind w:left="360"/>
              <w:spacing w:after="0"/>
              <w:rPr>
                <w:rFonts w:ascii="Arial" w:cs="Arial" w:eastAsia="Arial" w:hAnsi="Arial"/>
                <w:sz w:val="18"/>
                <w:szCs w:val="18"/>
                <w:u w:val="single" w:color="auto"/>
                <w:color w:val="0000EE"/>
              </w:rPr>
            </w:pPr>
            <w:hyperlink w:anchor="page549">
              <w:r>
                <w:rPr>
                  <w:rFonts w:ascii="Arial" w:cs="Arial" w:eastAsia="Arial" w:hAnsi="Arial"/>
                  <w:sz w:val="18"/>
                  <w:szCs w:val="18"/>
                  <w:u w:val="single" w:color="auto"/>
                  <w:color w:val="0000EE"/>
                </w:rPr>
                <w:t>List of subsidiaries of the Registrant</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8000" w:type="dxa"/>
            <w:vAlign w:val="bottom"/>
          </w:tcPr>
          <w:p>
            <w:pPr>
              <w:ind w:left="360"/>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Consent of Ernst and Young, LLP, Independent Registered Public Accounting Firm</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23.2*</w:t>
            </w:r>
          </w:p>
        </w:tc>
        <w:tc>
          <w:tcPr>
            <w:tcW w:w="8000" w:type="dxa"/>
            <w:vAlign w:val="bottom"/>
          </w:tcPr>
          <w:p>
            <w:pPr>
              <w:ind w:left="36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24.1**</w:t>
            </w:r>
          </w:p>
        </w:tc>
        <w:tc>
          <w:tcPr>
            <w:tcW w:w="8000" w:type="dxa"/>
            <w:vAlign w:val="bottom"/>
          </w:tcPr>
          <w:p>
            <w:pPr>
              <w:ind w:left="3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Power of Attorney (included in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3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52"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42" w:lineRule="exact"/>
        <w:rPr>
          <w:sz w:val="20"/>
          <w:szCs w:val="20"/>
          <w:color w:val="auto"/>
        </w:rPr>
      </w:pPr>
    </w:p>
    <w:p>
      <w:pPr>
        <w:ind w:left="480" w:right="300" w:hanging="472"/>
        <w:spacing w:after="0" w:line="271"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1"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**Previously filed.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80"/>
          </w:cols>
          <w:pgMar w:left="320" w:top="333" w:right="6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17. Undertakings.</w:t>
      </w:r>
    </w:p>
    <w:p>
      <w:pPr>
        <w:spacing w:after="0" w:line="10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ind w:left="1140" w:right="120" w:hanging="565"/>
        <w:spacing w:after="0" w:line="248"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62" w:lineRule="exact"/>
        <w:rPr>
          <w:rFonts w:ascii="Arial" w:cs="Arial" w:eastAsia="Arial" w:hAnsi="Arial"/>
          <w:sz w:val="18"/>
          <w:szCs w:val="18"/>
          <w:color w:val="auto"/>
        </w:rPr>
      </w:pPr>
    </w:p>
    <w:p>
      <w:pPr>
        <w:ind w:left="1140" w:right="260" w:hanging="565"/>
        <w:spacing w:after="0" w:line="255"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15"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Seattle, State of Washington, on September 8, 2020.</w:t>
      </w:r>
    </w:p>
    <w:p>
      <w:pPr>
        <w:spacing w:after="0" w:line="14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ATHIRA PHARMA, INC.</w:t>
      </w:r>
    </w:p>
    <w:p>
      <w:pPr>
        <w:spacing w:after="0" w:line="214" w:lineRule="exact"/>
        <w:rPr>
          <w:sz w:val="20"/>
          <w:szCs w:val="20"/>
          <w:color w:val="auto"/>
        </w:rPr>
      </w:pPr>
    </w:p>
    <w:p>
      <w:pPr>
        <w:ind w:left="6300"/>
        <w:spacing w:after="0"/>
        <w:tabs>
          <w:tab w:leader="none" w:pos="6760" w:val="left"/>
        </w:tabs>
        <w:rPr>
          <w:sz w:val="20"/>
          <w:szCs w:val="20"/>
          <w:color w:val="auto"/>
        </w:rPr>
      </w:pPr>
      <w:r>
        <w:rPr>
          <w:rFonts w:ascii="Arial" w:cs="Arial" w:eastAsia="Arial" w:hAnsi="Arial"/>
          <w:sz w:val="18"/>
          <w:szCs w:val="18"/>
          <w:color w:val="auto"/>
        </w:rPr>
        <w:t>By:</w:t>
        <w:tab/>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20320</wp:posOffset>
            </wp:positionV>
            <wp:extent cx="28289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Leen Kawas</w:t>
      </w:r>
    </w:p>
    <w:p>
      <w:pPr>
        <w:spacing w:after="0" w:line="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68"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46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4760" w:type="dxa"/>
            <w:vAlign w:val="bottom"/>
          </w:tcPr>
          <w:p>
            <w:pPr>
              <w:ind w:left="2540"/>
              <w:spacing w:after="0"/>
              <w:rPr>
                <w:sz w:val="20"/>
                <w:szCs w:val="20"/>
                <w:color w:val="auto"/>
              </w:rPr>
            </w:pPr>
            <w:r>
              <w:rPr>
                <w:rFonts w:ascii="Arial" w:cs="Arial" w:eastAsia="Arial" w:hAnsi="Arial"/>
                <w:sz w:val="14"/>
                <w:szCs w:val="14"/>
                <w:b w:val="1"/>
                <w:bCs w:val="1"/>
                <w:color w:val="auto"/>
              </w:rPr>
              <w:t>Title</w:t>
            </w:r>
          </w:p>
        </w:tc>
        <w:tc>
          <w:tcPr>
            <w:tcW w:w="2520" w:type="dxa"/>
            <w:vAlign w:val="bottom"/>
          </w:tcPr>
          <w:p>
            <w:pPr>
              <w:jc w:val="center"/>
              <w:ind w:left="893"/>
              <w:spacing w:after="0"/>
              <w:rPr>
                <w:sz w:val="20"/>
                <w:szCs w:val="20"/>
                <w:color w:val="auto"/>
              </w:rPr>
            </w:pPr>
            <w:r>
              <w:rPr>
                <w:rFonts w:ascii="Arial" w:cs="Arial" w:eastAsia="Arial" w:hAnsi="Arial"/>
                <w:sz w:val="14"/>
                <w:szCs w:val="14"/>
                <w:b w:val="1"/>
                <w:bCs w:val="1"/>
                <w:color w:val="auto"/>
                <w:w w:val="98"/>
              </w:rPr>
              <w:t>Date</w:t>
            </w:r>
          </w:p>
        </w:tc>
      </w:tr>
      <w:tr>
        <w:trPr>
          <w:trHeight w:val="313"/>
        </w:trPr>
        <w:tc>
          <w:tcPr>
            <w:tcW w:w="46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Leen Kawas</w:t>
            </w:r>
          </w:p>
        </w:tc>
        <w:tc>
          <w:tcPr>
            <w:tcW w:w="4760" w:type="dxa"/>
            <w:vAlign w:val="bottom"/>
          </w:tcPr>
          <w:p>
            <w:pPr>
              <w:ind w:left="60"/>
              <w:spacing w:after="0"/>
              <w:rPr>
                <w:sz w:val="20"/>
                <w:szCs w:val="20"/>
                <w:color w:val="auto"/>
              </w:rPr>
            </w:pPr>
            <w:r>
              <w:rPr>
                <w:rFonts w:ascii="Arial" w:cs="Arial" w:eastAsia="Arial" w:hAnsi="Arial"/>
                <w:sz w:val="18"/>
                <w:szCs w:val="18"/>
                <w:color w:val="auto"/>
              </w:rPr>
              <w:t>President, Chief Executive Officer and Director</w:t>
            </w:r>
          </w:p>
        </w:tc>
        <w:tc>
          <w:tcPr>
            <w:tcW w:w="2520" w:type="dxa"/>
            <w:vAlign w:val="bottom"/>
          </w:tcPr>
          <w:p>
            <w:pPr>
              <w:jc w:val="center"/>
              <w:ind w:left="893"/>
              <w:spacing w:after="0"/>
              <w:rPr>
                <w:sz w:val="20"/>
                <w:szCs w:val="20"/>
                <w:color w:val="auto"/>
              </w:rPr>
            </w:pPr>
            <w:r>
              <w:rPr>
                <w:rFonts w:ascii="Arial" w:cs="Arial" w:eastAsia="Arial" w:hAnsi="Arial"/>
                <w:sz w:val="18"/>
                <w:szCs w:val="18"/>
                <w:color w:val="auto"/>
              </w:rPr>
              <w:t>September 8, 2020</w:t>
            </w:r>
          </w:p>
        </w:tc>
      </w:tr>
      <w:tr>
        <w:trPr>
          <w:trHeight w:val="236"/>
        </w:trPr>
        <w:tc>
          <w:tcPr>
            <w:tcW w:w="46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rPr>
              <w:t>Leen Kawas</w:t>
            </w:r>
          </w:p>
        </w:tc>
        <w:tc>
          <w:tcPr>
            <w:tcW w:w="476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2520" w:type="dxa"/>
            <w:vAlign w:val="bottom"/>
          </w:tcPr>
          <w:p>
            <w:pPr>
              <w:spacing w:after="0"/>
              <w:rPr>
                <w:sz w:val="20"/>
                <w:szCs w:val="20"/>
                <w:color w:val="auto"/>
              </w:rPr>
            </w:pPr>
          </w:p>
        </w:tc>
      </w:tr>
      <w:tr>
        <w:trPr>
          <w:trHeight w:val="311"/>
        </w:trPr>
        <w:tc>
          <w:tcPr>
            <w:tcW w:w="46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Glenna Mileson</w:t>
            </w:r>
          </w:p>
        </w:tc>
        <w:tc>
          <w:tcPr>
            <w:tcW w:w="476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2520" w:type="dxa"/>
            <w:vAlign w:val="bottom"/>
          </w:tcPr>
          <w:p>
            <w:pPr>
              <w:jc w:val="center"/>
              <w:ind w:left="893"/>
              <w:spacing w:after="0"/>
              <w:rPr>
                <w:sz w:val="20"/>
                <w:szCs w:val="20"/>
                <w:color w:val="auto"/>
              </w:rPr>
            </w:pPr>
            <w:r>
              <w:rPr>
                <w:rFonts w:ascii="Arial" w:cs="Arial" w:eastAsia="Arial" w:hAnsi="Arial"/>
                <w:sz w:val="18"/>
                <w:szCs w:val="18"/>
                <w:color w:val="auto"/>
              </w:rPr>
              <w:t>September 8, 2020</w:t>
            </w:r>
          </w:p>
        </w:tc>
      </w:tr>
      <w:tr>
        <w:trPr>
          <w:trHeight w:val="236"/>
        </w:trPr>
        <w:tc>
          <w:tcPr>
            <w:tcW w:w="46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9"/>
              </w:rPr>
              <w:t>Glenna Mileson</w:t>
            </w:r>
          </w:p>
        </w:tc>
        <w:tc>
          <w:tcPr>
            <w:tcW w:w="476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c>
          <w:tcPr>
            <w:tcW w:w="2520" w:type="dxa"/>
            <w:vAlign w:val="bottom"/>
          </w:tcPr>
          <w:p>
            <w:pPr>
              <w:spacing w:after="0"/>
              <w:rPr>
                <w:sz w:val="20"/>
                <w:szCs w:val="20"/>
                <w:color w:val="auto"/>
              </w:rPr>
            </w:pPr>
          </w:p>
        </w:tc>
      </w:tr>
      <w:tr>
        <w:trPr>
          <w:trHeight w:val="311"/>
        </w:trPr>
        <w:tc>
          <w:tcPr>
            <w:tcW w:w="46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76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c>
          <w:tcPr>
            <w:tcW w:w="2520" w:type="dxa"/>
            <w:vAlign w:val="bottom"/>
          </w:tcPr>
          <w:p>
            <w:pPr>
              <w:jc w:val="center"/>
              <w:ind w:left="893"/>
              <w:spacing w:after="0"/>
              <w:rPr>
                <w:sz w:val="20"/>
                <w:szCs w:val="20"/>
                <w:color w:val="auto"/>
              </w:rPr>
            </w:pPr>
            <w:r>
              <w:rPr>
                <w:rFonts w:ascii="Arial" w:cs="Arial" w:eastAsia="Arial" w:hAnsi="Arial"/>
                <w:sz w:val="18"/>
                <w:szCs w:val="18"/>
                <w:color w:val="auto"/>
              </w:rPr>
              <w:t>September 8, 2020</w:t>
            </w:r>
          </w:p>
        </w:tc>
      </w:tr>
      <w:tr>
        <w:trPr>
          <w:trHeight w:val="236"/>
        </w:trPr>
        <w:tc>
          <w:tcPr>
            <w:tcW w:w="46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Tadataka Yamada</w:t>
            </w:r>
          </w:p>
        </w:tc>
        <w:tc>
          <w:tcPr>
            <w:tcW w:w="47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11"/>
        </w:trPr>
        <w:tc>
          <w:tcPr>
            <w:tcW w:w="46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760" w:type="dxa"/>
            <w:vAlign w:val="bottom"/>
          </w:tcPr>
          <w:p>
            <w:pPr>
              <w:ind w:left="60"/>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ind w:left="893"/>
              <w:spacing w:after="0"/>
              <w:rPr>
                <w:sz w:val="20"/>
                <w:szCs w:val="20"/>
                <w:color w:val="auto"/>
              </w:rPr>
            </w:pPr>
            <w:r>
              <w:rPr>
                <w:rFonts w:ascii="Arial" w:cs="Arial" w:eastAsia="Arial" w:hAnsi="Arial"/>
                <w:sz w:val="18"/>
                <w:szCs w:val="18"/>
                <w:color w:val="auto"/>
              </w:rPr>
              <w:t>September 8, 2020</w:t>
            </w:r>
          </w:p>
        </w:tc>
      </w:tr>
      <w:tr>
        <w:trPr>
          <w:trHeight w:val="236"/>
        </w:trPr>
        <w:tc>
          <w:tcPr>
            <w:tcW w:w="46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9"/>
              </w:rPr>
              <w:t>Joseph Edelman</w:t>
            </w:r>
          </w:p>
        </w:tc>
        <w:tc>
          <w:tcPr>
            <w:tcW w:w="47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11"/>
        </w:trPr>
        <w:tc>
          <w:tcPr>
            <w:tcW w:w="46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760" w:type="dxa"/>
            <w:vAlign w:val="bottom"/>
          </w:tcPr>
          <w:p>
            <w:pPr>
              <w:ind w:left="60"/>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ind w:left="893"/>
              <w:spacing w:after="0"/>
              <w:rPr>
                <w:sz w:val="20"/>
                <w:szCs w:val="20"/>
                <w:color w:val="auto"/>
              </w:rPr>
            </w:pPr>
            <w:r>
              <w:rPr>
                <w:rFonts w:ascii="Arial" w:cs="Arial" w:eastAsia="Arial" w:hAnsi="Arial"/>
                <w:sz w:val="18"/>
                <w:szCs w:val="18"/>
                <w:color w:val="auto"/>
              </w:rPr>
              <w:t>September 8, 2020</w:t>
            </w:r>
          </w:p>
        </w:tc>
      </w:tr>
      <w:tr>
        <w:trPr>
          <w:trHeight w:val="236"/>
        </w:trPr>
        <w:tc>
          <w:tcPr>
            <w:tcW w:w="46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9"/>
              </w:rPr>
              <w:t>John M. Fluke, Jr.</w:t>
            </w:r>
          </w:p>
        </w:tc>
        <w:tc>
          <w:tcPr>
            <w:tcW w:w="47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11"/>
        </w:trPr>
        <w:tc>
          <w:tcPr>
            <w:tcW w:w="46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760" w:type="dxa"/>
            <w:vAlign w:val="bottom"/>
          </w:tcPr>
          <w:p>
            <w:pPr>
              <w:ind w:left="60"/>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ind w:left="893"/>
              <w:spacing w:after="0"/>
              <w:rPr>
                <w:sz w:val="20"/>
                <w:szCs w:val="20"/>
                <w:color w:val="auto"/>
              </w:rPr>
            </w:pPr>
            <w:r>
              <w:rPr>
                <w:rFonts w:ascii="Arial" w:cs="Arial" w:eastAsia="Arial" w:hAnsi="Arial"/>
                <w:sz w:val="18"/>
                <w:szCs w:val="18"/>
                <w:color w:val="auto"/>
              </w:rPr>
              <w:t>September 8, 2020</w:t>
            </w:r>
          </w:p>
        </w:tc>
      </w:tr>
      <w:tr>
        <w:trPr>
          <w:trHeight w:val="236"/>
        </w:trPr>
        <w:tc>
          <w:tcPr>
            <w:tcW w:w="46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9"/>
              </w:rPr>
              <w:t>James A. Johnson</w:t>
            </w:r>
          </w:p>
        </w:tc>
        <w:tc>
          <w:tcPr>
            <w:tcW w:w="47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2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Leen Kawas</w:t>
            </w:r>
          </w:p>
        </w:tc>
        <w:tc>
          <w:tcPr>
            <w:tcW w:w="4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9"/>
        </w:trPr>
        <w:tc>
          <w:tcPr>
            <w:tcW w:w="460" w:type="dxa"/>
            <w:vAlign w:val="bottom"/>
          </w:tcPr>
          <w:p>
            <w:pPr>
              <w:spacing w:after="0"/>
              <w:rPr>
                <w:sz w:val="16"/>
                <w:szCs w:val="16"/>
                <w:color w:val="auto"/>
              </w:rPr>
            </w:pPr>
          </w:p>
        </w:tc>
        <w:tc>
          <w:tcPr>
            <w:tcW w:w="3000" w:type="dxa"/>
            <w:vAlign w:val="bottom"/>
          </w:tcPr>
          <w:p>
            <w:pPr>
              <w:jc w:val="center"/>
              <w:spacing w:after="0" w:line="189" w:lineRule="exact"/>
              <w:rPr>
                <w:sz w:val="20"/>
                <w:szCs w:val="20"/>
                <w:color w:val="auto"/>
              </w:rPr>
            </w:pPr>
            <w:r>
              <w:rPr>
                <w:rFonts w:ascii="Arial" w:cs="Arial" w:eastAsia="Arial" w:hAnsi="Arial"/>
                <w:sz w:val="18"/>
                <w:szCs w:val="18"/>
                <w:color w:val="auto"/>
              </w:rPr>
              <w:t>Leen Kawas</w:t>
            </w:r>
          </w:p>
        </w:tc>
        <w:tc>
          <w:tcPr>
            <w:tcW w:w="476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41"/>
        </w:trPr>
        <w:tc>
          <w:tcPr>
            <w:tcW w:w="46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i w:val="1"/>
                <w:iCs w:val="1"/>
                <w:color w:val="auto"/>
                <w:w w:val="99"/>
              </w:rPr>
              <w:t>Attorney-in-fact</w:t>
            </w:r>
          </w:p>
        </w:tc>
        <w:tc>
          <w:tcPr>
            <w:tcW w:w="47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648"/>
        </w:trPr>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60" w:type="dxa"/>
            <w:vAlign w:val="bottom"/>
          </w:tcPr>
          <w:p>
            <w:pPr>
              <w:ind w:left="1920"/>
              <w:spacing w:after="0"/>
              <w:rPr>
                <w:sz w:val="20"/>
                <w:szCs w:val="20"/>
                <w:color w:val="auto"/>
              </w:rPr>
            </w:pPr>
            <w:r>
              <w:rPr>
                <w:rFonts w:ascii="Arial" w:cs="Arial" w:eastAsia="Arial" w:hAnsi="Arial"/>
                <w:sz w:val="18"/>
                <w:szCs w:val="18"/>
                <w:color w:val="auto"/>
              </w:rPr>
              <w:t>II-8</w:t>
            </w:r>
          </w:p>
        </w:tc>
        <w:tc>
          <w:tcPr>
            <w:tcW w:w="2520" w:type="dxa"/>
            <w:vAlign w:val="bottom"/>
          </w:tcPr>
          <w:p>
            <w:pPr>
              <w:spacing w:after="0"/>
              <w:rPr>
                <w:sz w:val="24"/>
                <w:szCs w:val="24"/>
                <w:color w:val="auto"/>
              </w:rPr>
            </w:pPr>
          </w:p>
        </w:tc>
      </w:tr>
    </w:tbl>
    <w:p>
      <w:pPr>
        <w:sectPr>
          <w:pgSz w:w="11900" w:h="16838" w:orient="portrait"/>
          <w:cols w:equalWidth="0" w:num="1">
            <w:col w:w="11120"/>
          </w:cols>
          <w:pgMar w:left="320" w:top="114" w:right="459" w:bottom="1440" w:gutter="0" w:footer="0" w:header="0"/>
        </w:sectPr>
      </w:pPr>
    </w:p>
    <w:bookmarkStart w:id="9" w:name="page10"/>
    <w:bookmarkEnd w:id="9"/>
    <w:p>
      <w:pPr>
        <w:ind w:left="10260"/>
        <w:spacing w:after="0"/>
        <w:rPr>
          <w:sz w:val="20"/>
          <w:szCs w:val="20"/>
          <w:color w:val="auto"/>
        </w:rPr>
      </w:pPr>
      <w:r>
        <w:rPr>
          <w:rFonts w:ascii="Arial" w:cs="Arial" w:eastAsia="Arial" w:hAnsi="Arial"/>
          <w:sz w:val="19"/>
          <w:szCs w:val="19"/>
          <w:b w:val="1"/>
          <w:bCs w:val="1"/>
          <w:color w:val="auto"/>
        </w:rPr>
        <w:t>Exhibit 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165735</wp:posOffset>
            </wp:positionV>
            <wp:extent cx="668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Underwriting Agreement</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2020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Jefferies LLC</w:t>
      </w:r>
    </w:p>
    <w:p>
      <w:pPr>
        <w:spacing w:after="0" w:line="176" w:lineRule="exact"/>
        <w:rPr>
          <w:sz w:val="20"/>
          <w:szCs w:val="20"/>
          <w:color w:val="auto"/>
        </w:rPr>
      </w:pPr>
    </w:p>
    <w:p>
      <w:pPr>
        <w:ind w:right="5100"/>
        <w:spacing w:after="0" w:line="266" w:lineRule="auto"/>
        <w:rPr>
          <w:sz w:val="20"/>
          <w:szCs w:val="20"/>
          <w:color w:val="auto"/>
        </w:rPr>
      </w:pPr>
      <w:r>
        <w:rPr>
          <w:rFonts w:ascii="Arial" w:cs="Arial" w:eastAsia="Arial" w:hAnsi="Arial"/>
          <w:sz w:val="20"/>
          <w:szCs w:val="20"/>
          <w:color w:val="auto"/>
        </w:rPr>
        <w:t>As representatives (the “Representatives”) of the several Underwriters named in Schedule I hereto</w:t>
      </w:r>
    </w:p>
    <w:p>
      <w:pPr>
        <w:sectPr>
          <w:pgSz w:w="11900" w:h="16838" w:orient="portrait"/>
          <w:cols w:equalWidth="0" w:num="1">
            <w:col w:w="11240"/>
          </w:cols>
          <w:pgMar w:left="320" w:top="324" w:right="3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c/o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Goldman Sachs &amp; Co.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200 West Street</w:t>
      </w:r>
    </w:p>
    <w:p>
      <w:pPr>
        <w:spacing w:after="0"/>
        <w:rPr>
          <w:sz w:val="20"/>
          <w:szCs w:val="20"/>
          <w:color w:val="auto"/>
        </w:rPr>
      </w:pPr>
      <w:r>
        <w:rPr>
          <w:rFonts w:ascii="Arial" w:cs="Arial" w:eastAsia="Arial" w:hAnsi="Arial"/>
          <w:sz w:val="19"/>
          <w:szCs w:val="19"/>
          <w:color w:val="auto"/>
        </w:rPr>
        <w:t>New York, New York 10282</w:t>
      </w:r>
    </w:p>
    <w:p>
      <w:pPr>
        <w:spacing w:after="0" w:line="200" w:lineRule="exact"/>
        <w:rPr>
          <w:sz w:val="20"/>
          <w:szCs w:val="20"/>
          <w:color w:val="auto"/>
        </w:rPr>
      </w:pPr>
    </w:p>
    <w:p>
      <w:pPr>
        <w:sectPr>
          <w:pgSz w:w="11900" w:h="16838" w:orient="portrait"/>
          <w:cols w:equalWidth="0" w:num="2">
            <w:col w:w="280" w:space="300"/>
            <w:col w:w="10660"/>
          </w:cols>
          <w:pgMar w:left="320" w:top="324"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Jefferies LLC</w:t>
      </w:r>
    </w:p>
    <w:p>
      <w:pPr>
        <w:spacing w:after="0" w:line="237" w:lineRule="auto"/>
        <w:rPr>
          <w:sz w:val="20"/>
          <w:szCs w:val="20"/>
          <w:color w:val="auto"/>
        </w:rPr>
      </w:pPr>
      <w:r>
        <w:rPr>
          <w:rFonts w:ascii="Arial" w:cs="Arial" w:eastAsia="Arial" w:hAnsi="Arial"/>
          <w:sz w:val="20"/>
          <w:szCs w:val="20"/>
          <w:color w:val="auto"/>
        </w:rPr>
        <w:t>520 Madison Avenue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10022</w:t>
      </w:r>
    </w:p>
    <w:p>
      <w:pPr>
        <w:spacing w:after="0" w:line="200" w:lineRule="exact"/>
        <w:rPr>
          <w:sz w:val="20"/>
          <w:szCs w:val="20"/>
          <w:color w:val="auto"/>
        </w:rPr>
      </w:pPr>
    </w:p>
    <w:p>
      <w:pPr>
        <w:sectPr>
          <w:pgSz w:w="11900" w:h="16838" w:orient="portrait"/>
          <w:cols w:equalWidth="0" w:num="2">
            <w:col w:w="260" w:space="320"/>
            <w:col w:w="10660"/>
          </w:cols>
          <w:pgMar w:left="320" w:top="324"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9"/>
          <w:szCs w:val="19"/>
          <w:color w:val="auto"/>
        </w:rPr>
        <w:t xml:space="preserve">Athira Pharma, Inc., a Delaware corporation (the “Company”), proposes, subject to the terms and conditions stated in this agreement (this “Agreement”), to issue and sell to the several Underwriters named in Schedule I hereto (the “Underwriters”) an aggregate of [●] shares (the “Firm Shares”) and, at the election of the Underwriters, up to [●] additional shares (the “Optional Shares”) of common stock, par value $0.0001 per share (“Stock”), of the Company (the Firm Shares and the Optional Shares that the Underwriters elect to purchase pursuant to Section 2 hereof being collectively called the “Shares”). In the event that the Company has a single subsidiary or does not have any subsidiaries, then all references herein to “subsidiaries” of the Company shall be deemed to refer to such single subsidiary or to the Company, respectively,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6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color w:val="auto"/>
        </w:rPr>
        <w:t>Goldman Sachs &amp; Co. LLC (the “Directed Share Underwriter”) has agreed to reserve up to [</w:t>
      </w:r>
      <w:r>
        <w:rPr>
          <w:rFonts w:ascii="Times New Roman" w:cs="Times New Roman" w:eastAsia="Times New Roman" w:hAnsi="Times New Roman"/>
          <w:sz w:val="20"/>
          <w:szCs w:val="20"/>
          <w:color w:val="auto"/>
        </w:rPr>
        <w:t>•</w:t>
      </w:r>
      <w:r>
        <w:rPr>
          <w:rFonts w:ascii="Arial" w:cs="Arial" w:eastAsia="Arial" w:hAnsi="Arial"/>
          <w:sz w:val="20"/>
          <w:szCs w:val="20"/>
          <w:color w:val="auto"/>
        </w:rPr>
        <w:t>] Shares of the Shares to be purchased by it under this Agreement for sale at the direction of the Company to certain parties related to the Company (collectively, “Participants”). The Shares to be sold by the Directed Share Underwriter pursuant to the Directed Share Program are hereinafter called the “Directed Shares.” Any Directed Shares not confirmed for purchase by the deadline established therefor by the Directed Share Underwriter in consultation with the Company will be offered to the public by the Underwriters as set forth in the Prospectus.</w:t>
      </w:r>
    </w:p>
    <w:p>
      <w:pPr>
        <w:spacing w:after="0" w:line="168" w:lineRule="exact"/>
        <w:rPr>
          <w:sz w:val="20"/>
          <w:szCs w:val="20"/>
          <w:color w:val="auto"/>
        </w:rPr>
      </w:pPr>
    </w:p>
    <w:p>
      <w:pPr>
        <w:ind w:left="820" w:hanging="812"/>
        <w:spacing w:after="0"/>
        <w:tabs>
          <w:tab w:leader="none" w:pos="8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represents and warrants to, and agrees with, each of the Underwriters that:</w:t>
      </w:r>
    </w:p>
    <w:p>
      <w:pPr>
        <w:spacing w:after="0" w:line="202" w:lineRule="exact"/>
        <w:rPr>
          <w:rFonts w:ascii="Arial" w:cs="Arial" w:eastAsia="Arial" w:hAnsi="Arial"/>
          <w:sz w:val="20"/>
          <w:szCs w:val="20"/>
          <w:color w:val="auto"/>
        </w:rPr>
      </w:pPr>
    </w:p>
    <w:p>
      <w:pPr>
        <w:jc w:val="both"/>
        <w:ind w:firstLine="872"/>
        <w:spacing w:after="0" w:line="244" w:lineRule="exact"/>
        <w:tabs>
          <w:tab w:leader="none" w:pos="1753" w:val="left"/>
        </w:tabs>
        <w:numPr>
          <w:ilvl w:val="1"/>
          <w:numId w:val="8"/>
        </w:numPr>
        <w:rPr>
          <w:rFonts w:ascii="Arial" w:cs="Arial" w:eastAsia="Arial" w:hAnsi="Arial"/>
          <w:sz w:val="20"/>
          <w:szCs w:val="20"/>
          <w:color w:val="auto"/>
        </w:rPr>
      </w:pPr>
      <w:r>
        <w:rPr>
          <w:rFonts w:ascii="Arial" w:cs="Arial" w:eastAsia="Arial" w:hAnsi="Arial"/>
          <w:sz w:val="20"/>
          <w:szCs w:val="20"/>
          <w:color w:val="auto"/>
        </w:rPr>
        <w:t>A registration statement on Form S-1 (File No. 333–248428) (the “Initial Registration Statement”) in respect of the Shares has been filed with the Securities and Exchange Commission (the “Commission”); the Initial Registration Statement and any post</w:t>
      </w:r>
      <w:r>
        <w:rPr>
          <w:rFonts w:ascii="MS PGothic" w:cs="MS PGothic" w:eastAsia="MS PGothic" w:hAnsi="MS PGothic"/>
          <w:sz w:val="20"/>
          <w:szCs w:val="20"/>
          <w:color w:val="auto"/>
        </w:rPr>
        <w:t>‑</w:t>
      </w:r>
      <w:r>
        <w:rPr>
          <w:rFonts w:ascii="Arial" w:cs="Arial" w:eastAsia="Arial" w:hAnsi="Arial"/>
          <w:sz w:val="20"/>
          <w:szCs w:val="20"/>
          <w:color w:val="auto"/>
        </w:rPr>
        <w: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0" w:name="page11"/>
    <w:bookmarkEnd w:id="10"/>
    <w:p>
      <w:pPr>
        <w:jc w:val="both"/>
        <w:spacing w:after="0"/>
        <w:rPr>
          <w:sz w:val="20"/>
          <w:szCs w:val="20"/>
          <w:color w:val="auto"/>
        </w:rPr>
      </w:pPr>
      <w:r>
        <w:rPr>
          <w:rFonts w:ascii="Arial" w:cs="Arial" w:eastAsia="Arial" w:hAnsi="Arial"/>
          <w:sz w:val="19"/>
          <w:szCs w:val="19"/>
          <w:color w:val="auto"/>
        </w:rPr>
        <w:t>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 and any “bona fide electronic road show” as defined in Rule 433(h)(5) under the Act that has been made available without restriction to any person is hereinafter called a “broadly available road show”;</w:t>
      </w:r>
    </w:p>
    <w:p>
      <w:pPr>
        <w:spacing w:after="0" w:line="377" w:lineRule="exact"/>
        <w:rPr>
          <w:sz w:val="20"/>
          <w:szCs w:val="20"/>
          <w:color w:val="auto"/>
        </w:rPr>
      </w:pPr>
    </w:p>
    <w:p>
      <w:pPr>
        <w:jc w:val="both"/>
        <w:ind w:firstLine="872"/>
        <w:spacing w:after="0" w:line="233" w:lineRule="auto"/>
        <w:tabs>
          <w:tab w:leader="none" w:pos="1753"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this representation and warranty shall not apply to any statements or omissions made in reliance upon and in conformity with the Underwriter Information (as defined in Section 9(b) of this Agreement);</w:t>
      </w:r>
    </w:p>
    <w:p>
      <w:pPr>
        <w:spacing w:after="0" w:line="165" w:lineRule="exact"/>
        <w:rPr>
          <w:rFonts w:ascii="Arial" w:cs="Arial" w:eastAsia="Arial" w:hAnsi="Arial"/>
          <w:sz w:val="20"/>
          <w:szCs w:val="20"/>
          <w:color w:val="auto"/>
        </w:rPr>
      </w:pPr>
    </w:p>
    <w:p>
      <w:pPr>
        <w:jc w:val="both"/>
        <w:ind w:firstLine="872"/>
        <w:spacing w:after="0" w:line="232" w:lineRule="auto"/>
        <w:tabs>
          <w:tab w:leader="none" w:pos="1742" w:val="left"/>
        </w:tabs>
        <w:numPr>
          <w:ilvl w:val="0"/>
          <w:numId w:val="9"/>
        </w:numPr>
        <w:rPr>
          <w:rFonts w:ascii="Arial" w:cs="Arial" w:eastAsia="Arial" w:hAnsi="Arial"/>
          <w:sz w:val="20"/>
          <w:szCs w:val="20"/>
          <w:color w:val="auto"/>
        </w:rPr>
      </w:pPr>
      <w:r>
        <w:rPr>
          <w:rFonts w:ascii="Arial" w:cs="Arial" w:eastAsia="Arial" w:hAnsi="Arial"/>
          <w:sz w:val="20"/>
          <w:szCs w:val="20"/>
          <w:color w:val="auto"/>
        </w:rPr>
        <w:t>For the purposes of this Agreement, the “Applicable Time” is [●] p.m., New York City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each broadly available road show and each Written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1" w:name="page12"/>
    <w:bookmarkEnd w:id="11"/>
    <w:p>
      <w:pPr>
        <w:jc w:val="both"/>
        <w:spacing w:after="0" w:line="236" w:lineRule="auto"/>
        <w:rPr>
          <w:sz w:val="20"/>
          <w:szCs w:val="20"/>
          <w:color w:val="auto"/>
        </w:rPr>
      </w:pPr>
      <w:r>
        <w:rPr>
          <w:rFonts w:ascii="Arial" w:cs="Arial" w:eastAsia="Arial" w:hAnsi="Arial"/>
          <w:sz w:val="20"/>
          <w:szCs w:val="20"/>
          <w:color w:val="auto"/>
        </w:rPr>
        <w:t>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65" w:lineRule="exact"/>
        <w:rPr>
          <w:sz w:val="20"/>
          <w:szCs w:val="20"/>
          <w:color w:val="auto"/>
        </w:rPr>
      </w:pPr>
    </w:p>
    <w:p>
      <w:pPr>
        <w:jc w:val="both"/>
        <w:ind w:firstLine="872"/>
        <w:spacing w:after="0" w:line="232" w:lineRule="auto"/>
        <w:tabs>
          <w:tab w:leader="none" w:pos="1753"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Registration Statement, at the time it was declared effective, conformed, and the Prospectus and any further amendments or supplements to the Registration Statement and the Prospectus, on the date when such prospectus is filed,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65" w:lineRule="exact"/>
        <w:rPr>
          <w:rFonts w:ascii="Arial" w:cs="Arial" w:eastAsia="Arial" w:hAnsi="Arial"/>
          <w:sz w:val="20"/>
          <w:szCs w:val="20"/>
          <w:color w:val="auto"/>
        </w:rPr>
      </w:pPr>
    </w:p>
    <w:p>
      <w:pPr>
        <w:jc w:val="both"/>
        <w:ind w:firstLine="872"/>
        <w:spacing w:after="0" w:line="220" w:lineRule="exact"/>
        <w:tabs>
          <w:tab w:leader="none" w:pos="1753" w:val="left"/>
        </w:tabs>
        <w:numPr>
          <w:ilvl w:val="0"/>
          <w:numId w:val="10"/>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since the date of the latest audited financial statements included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(ii) the repurchase of shares of capital stock pursuant to agreements providing for an option to repurchase or a right of first refusal on behalf of the Company that are described in the Pricing Prospectus and the Prospectus or (iii) the issuance, if any, of stock upon exercise or conversion of Company securities as described in the Pricing Prospectus and the Prospectus) or long</w:t>
      </w:r>
      <w:r>
        <w:rPr>
          <w:rFonts w:ascii="MS PGothic" w:cs="MS PGothic" w:eastAsia="MS PGothic" w:hAnsi="MS PGothic"/>
          <w:sz w:val="19"/>
          <w:szCs w:val="19"/>
          <w:color w:val="auto"/>
        </w:rPr>
        <w:t>‑</w:t>
      </w:r>
      <w:r>
        <w:rPr>
          <w:rFonts w:ascii="Arial" w:cs="Arial" w:eastAsia="Arial" w:hAnsi="Arial"/>
          <w:sz w:val="19"/>
          <w:szCs w:val="19"/>
          <w:color w:val="auto"/>
        </w:rPr>
        <w:t>term debt of the Company or any of its subsidiaries or (y) any Material Adverse Effect (as defined below); as used in this Agreement, “Material Adverse Effect” shall mean a material adverse change or effect, or any development involving a prospective material adverse change or effect, in or affecting (i) the business, properties, general affairs, management, financial position, stockholders’ equity, prospects or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164" w:lineRule="exact"/>
        <w:rPr>
          <w:rFonts w:ascii="Arial" w:cs="Arial" w:eastAsia="Arial" w:hAnsi="Arial"/>
          <w:sz w:val="19"/>
          <w:szCs w:val="19"/>
          <w:color w:val="auto"/>
        </w:rPr>
      </w:pPr>
    </w:p>
    <w:p>
      <w:pPr>
        <w:jc w:val="both"/>
        <w:ind w:firstLine="872"/>
        <w:spacing w:after="0" w:line="239" w:lineRule="auto"/>
        <w:tabs>
          <w:tab w:leader="none" w:pos="169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and its subsidiaries have valid title to all personal property owned by them (other than with respect to Company Intellectual Property (as defined below), which for the avoidance of doubt is addressed exclusively in subsection (gg) below), in each case free and clear of all liens, encumbrances and defects except such as are described in the Pricing Prospectus or such as do not materially affect the value of such property and do not materially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2" w:name="page13"/>
    <w:bookmarkEnd w:id="12"/>
    <w:p>
      <w:pPr>
        <w:jc w:val="both"/>
        <w:spacing w:after="0" w:line="236" w:lineRule="auto"/>
        <w:rPr>
          <w:sz w:val="20"/>
          <w:szCs w:val="20"/>
          <w:color w:val="auto"/>
        </w:rPr>
      </w:pPr>
      <w:r>
        <w:rPr>
          <w:rFonts w:ascii="Arial" w:cs="Arial" w:eastAsia="Arial" w:hAnsi="Arial"/>
          <w:sz w:val="20"/>
          <w:szCs w:val="20"/>
          <w:color w:val="auto"/>
        </w:rPr>
        <w:t>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and none of the Company and its subsidiaries own any real property;</w:t>
      </w:r>
    </w:p>
    <w:p>
      <w:pPr>
        <w:spacing w:after="0" w:line="165" w:lineRule="exact"/>
        <w:rPr>
          <w:sz w:val="20"/>
          <w:szCs w:val="20"/>
          <w:color w:val="auto"/>
        </w:rPr>
      </w:pPr>
    </w:p>
    <w:p>
      <w:pPr>
        <w:jc w:val="both"/>
        <w:ind w:firstLine="872"/>
        <w:spacing w:after="0" w:line="232" w:lineRule="auto"/>
        <w:tabs>
          <w:tab w:leader="none" w:pos="1753" w:val="left"/>
        </w:tabs>
        <w:numPr>
          <w:ilvl w:val="0"/>
          <w:numId w:val="11"/>
        </w:numPr>
        <w:rPr>
          <w:rFonts w:ascii="Arial" w:cs="Arial" w:eastAsia="Arial" w:hAnsi="Arial"/>
          <w:sz w:val="20"/>
          <w:szCs w:val="20"/>
          <w:color w:val="auto"/>
        </w:rPr>
      </w:pPr>
      <w:r>
        <w:rPr>
          <w:rFonts w:ascii="Arial" w:cs="Arial" w:eastAsia="Arial" w:hAnsi="Arial"/>
          <w:sz w:val="20"/>
          <w:szCs w:val="20"/>
          <w:color w:val="auto"/>
        </w:rPr>
        <w:t>Each of the Company and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 and each subsidiary of the Company required to be listed in the Registration Statement has been listed in the Registration Statement;</w:t>
      </w:r>
    </w:p>
    <w:p>
      <w:pPr>
        <w:spacing w:after="0" w:line="165" w:lineRule="exact"/>
        <w:rPr>
          <w:rFonts w:ascii="Arial" w:cs="Arial" w:eastAsia="Arial" w:hAnsi="Arial"/>
          <w:sz w:val="20"/>
          <w:szCs w:val="20"/>
          <w:color w:val="auto"/>
        </w:rPr>
      </w:pPr>
    </w:p>
    <w:p>
      <w:pPr>
        <w:jc w:val="both"/>
        <w:ind w:firstLine="872"/>
        <w:spacing w:after="0" w:line="233" w:lineRule="auto"/>
        <w:tabs>
          <w:tab w:leader="none" w:pos="1753"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Company has an authorized capitalization as set forth in the Pricing Prospectus and all of the issued shares of capital stock of the Company have been duly and validly authorized and issued and are fully paid and non-assessable and conform to the description of the Stock contained in the Pricing Disclosure Package and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165" w:lineRule="exact"/>
        <w:rPr>
          <w:rFonts w:ascii="Arial" w:cs="Arial" w:eastAsia="Arial" w:hAnsi="Arial"/>
          <w:sz w:val="20"/>
          <w:szCs w:val="20"/>
          <w:color w:val="auto"/>
        </w:rPr>
      </w:pPr>
    </w:p>
    <w:p>
      <w:pPr>
        <w:jc w:val="both"/>
        <w:ind w:firstLine="872"/>
        <w:spacing w:after="0" w:line="230" w:lineRule="exact"/>
        <w:tabs>
          <w:tab w:leader="none" w:pos="1687"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Shares to be issued and sold by the Company to the Underwriters hereunder have been duly and validly authorized and, when issued and delivered against payment therefor as provided herein, will be duly and validly issued and fully paid and non</w:t>
      </w:r>
      <w:r>
        <w:rPr>
          <w:rFonts w:ascii="MS PGothic" w:cs="MS PGothic" w:eastAsia="MS PGothic" w:hAnsi="MS PGothic"/>
          <w:sz w:val="20"/>
          <w:szCs w:val="20"/>
          <w:color w:val="auto"/>
        </w:rPr>
        <w:t>‑</w:t>
      </w:r>
      <w:r>
        <w:rPr>
          <w:rFonts w:ascii="Arial" w:cs="Arial" w:eastAsia="Arial" w:hAnsi="Arial"/>
          <w:sz w:val="20"/>
          <w:szCs w:val="20"/>
          <w:color w:val="auto"/>
        </w:rPr>
        <w:t>assessable and will conform to the description of the Stock contained in the Pricing Disclosure Package and the Prospectus; and the issuance of the Shares is not subject to any preemptive or similar rights, except as have been validly waived or complied with in connection with the offering of the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3" w:name="page14"/>
    <w:bookmarkEnd w:id="13"/>
    <w:p>
      <w:pPr>
        <w:jc w:val="both"/>
        <w:ind w:firstLine="872"/>
        <w:spacing w:after="0" w:line="229" w:lineRule="auto"/>
        <w:tabs>
          <w:tab w:leader="none" w:pos="1687"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conflicts, defaults, breaches or violations that would not, individually or in the aggregate, reasonably be expected to result in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registrations or qualifications as may be required under state securities or Blue Sky laws in connection with the purchase and distribution of the Shares by the Underwriters;</w:t>
      </w:r>
    </w:p>
    <w:p>
      <w:pPr>
        <w:spacing w:after="0" w:line="164" w:lineRule="exact"/>
        <w:rPr>
          <w:rFonts w:ascii="Arial" w:cs="Arial" w:eastAsia="Arial" w:hAnsi="Arial"/>
          <w:sz w:val="20"/>
          <w:szCs w:val="20"/>
          <w:color w:val="auto"/>
        </w:rPr>
      </w:pPr>
    </w:p>
    <w:p>
      <w:pPr>
        <w:jc w:val="both"/>
        <w:ind w:firstLine="872"/>
        <w:spacing w:after="0" w:line="233" w:lineRule="auto"/>
        <w:tabs>
          <w:tab w:leader="none" w:pos="1742" w:val="left"/>
        </w:tabs>
        <w:numPr>
          <w:ilvl w:val="0"/>
          <w:numId w:val="12"/>
        </w:numPr>
        <w:rPr>
          <w:rFonts w:ascii="Arial" w:cs="Arial" w:eastAsia="Arial" w:hAnsi="Arial"/>
          <w:sz w:val="20"/>
          <w:szCs w:val="20"/>
          <w:color w:val="auto"/>
        </w:rPr>
      </w:pPr>
      <w:r>
        <w:rPr>
          <w:rFonts w:ascii="Arial" w:cs="Arial" w:eastAsia="Arial" w:hAnsi="Arial"/>
          <w:sz w:val="20"/>
          <w:szCs w:val="20"/>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or violations as would not, individually or in the aggregate, reasonably be expected to have a Material Adverse Effect;</w:t>
      </w:r>
    </w:p>
    <w:p>
      <w:pPr>
        <w:spacing w:after="0" w:line="165" w:lineRule="exact"/>
        <w:rPr>
          <w:rFonts w:ascii="Arial" w:cs="Arial" w:eastAsia="Arial" w:hAnsi="Arial"/>
          <w:sz w:val="20"/>
          <w:szCs w:val="20"/>
          <w:color w:val="auto"/>
        </w:rPr>
      </w:pPr>
    </w:p>
    <w:p>
      <w:pPr>
        <w:jc w:val="both"/>
        <w:ind w:firstLine="872"/>
        <w:spacing w:after="0" w:line="236" w:lineRule="auto"/>
        <w:tabs>
          <w:tab w:leader="none" w:pos="1687"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statements set forth in the Pricing Prospectus and Prospectus under the captions “Description of Capital Stock” and “Shares Eligible for Future Sale”, insofar as they purport to constitute a summary of the terms of the Stock, under the caption “Material U.S. Federal Income Tax Consequences for Non-U.S. Holders”, and under the caption “Underwriting”, insofar as they purport to describe the provisions of the laws and documents referred to therein, are accurate, complete and fair in all material respects;</w:t>
      </w:r>
    </w:p>
    <w:p>
      <w:pPr>
        <w:spacing w:after="0" w:line="165" w:lineRule="exact"/>
        <w:rPr>
          <w:rFonts w:ascii="Arial" w:cs="Arial" w:eastAsia="Arial" w:hAnsi="Arial"/>
          <w:sz w:val="20"/>
          <w:szCs w:val="20"/>
          <w:color w:val="auto"/>
        </w:rPr>
      </w:pPr>
    </w:p>
    <w:p>
      <w:pPr>
        <w:jc w:val="both"/>
        <w:ind w:firstLine="872"/>
        <w:spacing w:after="0" w:line="233" w:lineRule="auto"/>
        <w:tabs>
          <w:tab w:leader="none" w:pos="1808" w:val="left"/>
        </w:tabs>
        <w:numPr>
          <w:ilvl w:val="0"/>
          <w:numId w:val="12"/>
        </w:numPr>
        <w:rPr>
          <w:rFonts w:ascii="Arial" w:cs="Arial" w:eastAsia="Arial" w:hAnsi="Arial"/>
          <w:sz w:val="20"/>
          <w:szCs w:val="20"/>
          <w:color w:val="auto"/>
        </w:rPr>
      </w:pPr>
      <w:r>
        <w:rPr>
          <w:rFonts w:ascii="Arial" w:cs="Arial" w:eastAsia="Arial" w:hAnsi="Arial"/>
          <w:sz w:val="20"/>
          <w:szCs w:val="20"/>
          <w:color w:val="auto"/>
        </w:rPr>
        <w:t>Other than as set forth in the Pricing Prospectus, there are no legal or governmental proceedings pending to which the Company or any of its subsidiaries or any of their properties or, to the Company’s knowledge, any officer or director of the Company, is a party or of which any property of the Company or any of its subsidiaries or any of their properties or, to the Company’s knowledge, any officer or director of the Company, is the subject which, if determined adversely to the Company or any of its subsidiaries or any of their properties (or such officer or director), would individually or in the aggregate, reasonably be expected to have a Material Adverse Effect; and, to the Company’s knowledge, no such proceedings are threatened or contemplated by governmental authorities or others;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4" w:name="page15"/>
    <w:bookmarkEnd w:id="14"/>
    <w:p>
      <w:pPr>
        <w:jc w:val="both"/>
        <w:ind w:firstLine="872"/>
        <w:spacing w:after="0" w:line="245" w:lineRule="auto"/>
        <w:tabs>
          <w:tab w:leader="none" w:pos="1753"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Company is not and, immediately after giving effect to the offering and sale of the Shares and the application of the proceeds thereof as described in the Pricing Prospectus and the Prospectus, will not be an “investment company”, as such term is defined in the Investment Company Act of 1940, as amended (the “Investment Company Act”);</w:t>
      </w:r>
    </w:p>
    <w:p>
      <w:pPr>
        <w:spacing w:after="0" w:line="159" w:lineRule="exact"/>
        <w:rPr>
          <w:rFonts w:ascii="Arial" w:cs="Arial" w:eastAsia="Arial" w:hAnsi="Arial"/>
          <w:sz w:val="20"/>
          <w:szCs w:val="20"/>
          <w:color w:val="auto"/>
        </w:rPr>
      </w:pPr>
    </w:p>
    <w:p>
      <w:pPr>
        <w:jc w:val="both"/>
        <w:ind w:firstLine="872"/>
        <w:spacing w:after="0" w:line="239" w:lineRule="auto"/>
        <w:tabs>
          <w:tab w:leader="none" w:pos="1753" w:val="left"/>
        </w:tabs>
        <w:numPr>
          <w:ilvl w:val="0"/>
          <w:numId w:val="13"/>
        </w:numPr>
        <w:rPr>
          <w:rFonts w:ascii="Arial" w:cs="Arial" w:eastAsia="Arial" w:hAnsi="Arial"/>
          <w:sz w:val="20"/>
          <w:szCs w:val="20"/>
          <w:color w:val="auto"/>
        </w:rPr>
      </w:pPr>
      <w:r>
        <w:rPr>
          <w:rFonts w:ascii="Arial" w:cs="Arial" w:eastAsia="Arial" w:hAnsi="Arial"/>
          <w:sz w:val="20"/>
          <w:szCs w:val="20"/>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63" w:lineRule="exact"/>
        <w:rPr>
          <w:rFonts w:ascii="Arial" w:cs="Arial" w:eastAsia="Arial" w:hAnsi="Arial"/>
          <w:sz w:val="20"/>
          <w:szCs w:val="20"/>
          <w:color w:val="auto"/>
        </w:rPr>
      </w:pPr>
    </w:p>
    <w:p>
      <w:pPr>
        <w:ind w:firstLine="872"/>
        <w:spacing w:after="0" w:line="266" w:lineRule="auto"/>
        <w:tabs>
          <w:tab w:leader="none" w:pos="1753" w:val="left"/>
        </w:tabs>
        <w:numPr>
          <w:ilvl w:val="0"/>
          <w:numId w:val="13"/>
        </w:numPr>
        <w:rPr>
          <w:rFonts w:ascii="Arial" w:cs="Arial" w:eastAsia="Arial" w:hAnsi="Arial"/>
          <w:sz w:val="20"/>
          <w:szCs w:val="20"/>
          <w:color w:val="auto"/>
        </w:rPr>
      </w:pPr>
      <w:r>
        <w:rPr>
          <w:rFonts w:ascii="Arial" w:cs="Arial" w:eastAsia="Arial" w:hAnsi="Arial"/>
          <w:sz w:val="20"/>
          <w:szCs w:val="20"/>
          <w:color w:val="auto"/>
        </w:rPr>
        <w:t>Ernst &amp; Young LLP, who have certified certain financial statements of the Company and its subsidiaries, are independent public accountants as required by the Act and the rules and regulations of the Commission thereunder;</w:t>
      </w:r>
    </w:p>
    <w:p>
      <w:pPr>
        <w:spacing w:after="0" w:line="138" w:lineRule="exact"/>
        <w:rPr>
          <w:rFonts w:ascii="Arial" w:cs="Arial" w:eastAsia="Arial" w:hAnsi="Arial"/>
          <w:sz w:val="20"/>
          <w:szCs w:val="20"/>
          <w:color w:val="auto"/>
        </w:rPr>
      </w:pPr>
    </w:p>
    <w:p>
      <w:pPr>
        <w:jc w:val="both"/>
        <w:ind w:firstLine="872"/>
        <w:spacing w:after="0" w:line="229" w:lineRule="auto"/>
        <w:tabs>
          <w:tab w:leader="none" w:pos="1753"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Company maintains a system of internal control over financial reporting (as such term is defined in Rule 13a-15(f) under the Securities Exchange Act of 1934, as amended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except as disclosed in the Pricing Prospectus, the Company’s internal control over financial reporting is effective and the Company is not aware of any material weaknesses in its internal control over financial reporting (it being understood that this subsection (q) shall not require the Company to comply with Section 404 of the Sarbanes-Oxley Act of 2002, as amended, as of an earlier date than it would otherwise be required to so comply under applicable law);</w:t>
      </w:r>
    </w:p>
    <w:p>
      <w:pPr>
        <w:spacing w:after="0" w:line="167" w:lineRule="exact"/>
        <w:rPr>
          <w:rFonts w:ascii="Arial" w:cs="Arial" w:eastAsia="Arial" w:hAnsi="Arial"/>
          <w:sz w:val="20"/>
          <w:szCs w:val="20"/>
          <w:color w:val="auto"/>
        </w:rPr>
      </w:pPr>
    </w:p>
    <w:p>
      <w:pPr>
        <w:jc w:val="both"/>
        <w:ind w:firstLine="872"/>
        <w:spacing w:after="0" w:line="245" w:lineRule="auto"/>
        <w:tabs>
          <w:tab w:leader="none" w:pos="1709" w:val="left"/>
        </w:tabs>
        <w:numPr>
          <w:ilvl w:val="0"/>
          <w:numId w:val="13"/>
        </w:numPr>
        <w:rPr>
          <w:rFonts w:ascii="Arial" w:cs="Arial" w:eastAsia="Arial" w:hAnsi="Arial"/>
          <w:sz w:val="20"/>
          <w:szCs w:val="20"/>
          <w:color w:val="auto"/>
        </w:rPr>
      </w:pPr>
      <w:r>
        <w:rPr>
          <w:rFonts w:ascii="Arial" w:cs="Arial" w:eastAsia="Arial" w:hAnsi="Arial"/>
          <w:sz w:val="20"/>
          <w:szCs w:val="20"/>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59" w:lineRule="exact"/>
        <w:rPr>
          <w:rFonts w:ascii="Arial" w:cs="Arial" w:eastAsia="Arial" w:hAnsi="Arial"/>
          <w:sz w:val="20"/>
          <w:szCs w:val="20"/>
          <w:color w:val="auto"/>
        </w:rPr>
      </w:pPr>
    </w:p>
    <w:p>
      <w:pPr>
        <w:jc w:val="both"/>
        <w:ind w:firstLine="872"/>
        <w:spacing w:after="0" w:line="236" w:lineRule="auto"/>
        <w:tabs>
          <w:tab w:leader="none" w:pos="174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Company maintains disclosure controls and procedures (as such term is defined in Rule 13a-15(e) under the Exchange Act) that comply with the requirements of the Exchange Act; such disclosure controls and procedures have been designed to reasonably ensure that material information relating to the Company and its subsidiaries is made known to the Company’s principal executive officer and principal financial officer by others within these entities; and such disclosure controls and procedures are effective;</w:t>
      </w:r>
    </w:p>
    <w:p>
      <w:pPr>
        <w:spacing w:after="0" w:line="165" w:lineRule="exact"/>
        <w:rPr>
          <w:rFonts w:ascii="Arial" w:cs="Arial" w:eastAsia="Arial" w:hAnsi="Arial"/>
          <w:sz w:val="20"/>
          <w:szCs w:val="20"/>
          <w:color w:val="auto"/>
        </w:rPr>
      </w:pPr>
    </w:p>
    <w:p>
      <w:pPr>
        <w:ind w:left="1700" w:hanging="828"/>
        <w:spacing w:after="0"/>
        <w:tabs>
          <w:tab w:leader="none" w:pos="17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Agreement has been duly authorized, executed and delivered by the Company;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5" w:name="page16"/>
    <w:bookmarkEnd w:id="15"/>
    <w:p>
      <w:pPr>
        <w:jc w:val="both"/>
        <w:ind w:firstLine="872"/>
        <w:spacing w:after="0" w:line="232" w:lineRule="auto"/>
        <w:tabs>
          <w:tab w:leader="none" w:pos="1753"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None of the Company, any of its subsidiaries, any director or officer thereof, nor, to the knowledge of the Company, any controlled affiliate, employee, agent or other person associated with or acting on behalf of the Company, any of its subsidiaries or their controlled affiliates has (i) directly or indirectly made, offered, promised or authorized any unlawful payment, contribution, gift, entertainment or other unlawful benefit or expense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or (ii) violated or is in violation of any provision of the U.S. Foreign Corrupt Practices Act of 1977, as amended, the Bribery Act 2010 of the United Kingdom or any other applicable anti-bribery or anti-corruption law;</w:t>
      </w:r>
    </w:p>
    <w:p>
      <w:pPr>
        <w:spacing w:after="0" w:line="165" w:lineRule="exact"/>
        <w:rPr>
          <w:rFonts w:ascii="Arial" w:cs="Arial" w:eastAsia="Arial" w:hAnsi="Arial"/>
          <w:sz w:val="20"/>
          <w:szCs w:val="20"/>
          <w:color w:val="auto"/>
        </w:rPr>
      </w:pPr>
    </w:p>
    <w:p>
      <w:pPr>
        <w:ind w:firstLine="872"/>
        <w:spacing w:after="0" w:line="266" w:lineRule="auto"/>
        <w:tabs>
          <w:tab w:leader="none" w:pos="1742"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Company, its subsidiaries and their controlled affiliates have instituted and maintained policies and procedures reasonably designed to promote and achieve compliance with anti-corruption laws;</w:t>
      </w:r>
    </w:p>
    <w:p>
      <w:pPr>
        <w:spacing w:after="0" w:line="138" w:lineRule="exact"/>
        <w:rPr>
          <w:rFonts w:ascii="Arial" w:cs="Arial" w:eastAsia="Arial" w:hAnsi="Arial"/>
          <w:sz w:val="20"/>
          <w:szCs w:val="20"/>
          <w:color w:val="auto"/>
        </w:rPr>
      </w:pPr>
    </w:p>
    <w:p>
      <w:pPr>
        <w:jc w:val="both"/>
        <w:ind w:firstLine="872"/>
        <w:spacing w:after="0" w:line="233" w:lineRule="auto"/>
        <w:tabs>
          <w:tab w:leader="none" w:pos="1786"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65" w:lineRule="exact"/>
        <w:rPr>
          <w:rFonts w:ascii="Arial" w:cs="Arial" w:eastAsia="Arial" w:hAnsi="Arial"/>
          <w:sz w:val="20"/>
          <w:szCs w:val="20"/>
          <w:color w:val="auto"/>
        </w:rPr>
      </w:pPr>
    </w:p>
    <w:p>
      <w:pPr>
        <w:jc w:val="both"/>
        <w:ind w:firstLine="872"/>
        <w:spacing w:after="0" w:line="229" w:lineRule="auto"/>
        <w:tabs>
          <w:tab w:leader="none" w:pos="1742"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None of the Company, any of its subsidiaries, any director or officer thereof, nor to the knowledge of the Company, any controlled affiliates, employee, agent or other person associated with or acting on behalf of the Company, any of its subsidiaries or their affiliates, is, or is owned or controlled by, a person that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nor is the Company or any of its subsidiaries located, organized, or resident in a country or territory that is the subject or target of Sanctions including, without limitation, Cuba, Iran, North Korea, Syria, and Crimea,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167" w:lineRule="exact"/>
        <w:rPr>
          <w:rFonts w:ascii="Arial" w:cs="Arial" w:eastAsia="Arial" w:hAnsi="Arial"/>
          <w:sz w:val="20"/>
          <w:szCs w:val="20"/>
          <w:color w:val="auto"/>
        </w:rPr>
      </w:pPr>
    </w:p>
    <w:p>
      <w:pPr>
        <w:ind w:firstLine="872"/>
        <w:spacing w:after="0" w:line="266" w:lineRule="auto"/>
        <w:tabs>
          <w:tab w:leader="none" w:pos="1742" w:val="left"/>
        </w:tabs>
        <w:numPr>
          <w:ilvl w:val="0"/>
          <w:numId w:val="14"/>
        </w:numPr>
        <w:rPr>
          <w:rFonts w:ascii="Arial" w:cs="Arial" w:eastAsia="Arial" w:hAnsi="Arial"/>
          <w:sz w:val="20"/>
          <w:szCs w:val="20"/>
          <w:color w:val="auto"/>
        </w:rPr>
      </w:pPr>
      <w:r>
        <w:rPr>
          <w:rFonts w:ascii="Arial" w:cs="Arial" w:eastAsia="Arial" w:hAnsi="Arial"/>
          <w:sz w:val="20"/>
          <w:szCs w:val="20"/>
          <w:color w:val="auto"/>
        </w:rPr>
        <w:t>Each of the Company and its subsidiaries has not engaged in any transactions or dealings with any person, or in any country or territory, that at the time of the dealing or transaction is or was the subject or target of Sanctions;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6" w:name="page17"/>
    <w:bookmarkEnd w:id="16"/>
    <w:p>
      <w:pPr>
        <w:jc w:val="both"/>
        <w:ind w:firstLine="864"/>
        <w:spacing w:after="0" w:line="230" w:lineRule="auto"/>
        <w:rPr>
          <w:sz w:val="20"/>
          <w:szCs w:val="20"/>
          <w:color w:val="auto"/>
        </w:rPr>
      </w:pPr>
      <w:r>
        <w:rPr>
          <w:rFonts w:ascii="Arial" w:cs="Arial" w:eastAsia="Arial" w:hAnsi="Arial"/>
          <w:sz w:val="20"/>
          <w:szCs w:val="20"/>
          <w:color w:val="auto"/>
        </w:rPr>
        <w:t>(z) 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168" w:lineRule="exact"/>
        <w:rPr>
          <w:sz w:val="20"/>
          <w:szCs w:val="20"/>
          <w:color w:val="auto"/>
        </w:rPr>
      </w:pPr>
    </w:p>
    <w:p>
      <w:pPr>
        <w:jc w:val="both"/>
        <w:ind w:firstLine="872"/>
        <w:spacing w:after="0" w:line="238" w:lineRule="auto"/>
        <w:tabs>
          <w:tab w:leader="none" w:pos="1863" w:val="left"/>
        </w:tabs>
        <w:numPr>
          <w:ilvl w:val="1"/>
          <w:numId w:val="15"/>
        </w:numPr>
        <w:rPr>
          <w:rFonts w:ascii="Arial" w:cs="Arial" w:eastAsia="Arial" w:hAnsi="Arial"/>
          <w:sz w:val="20"/>
          <w:szCs w:val="20"/>
          <w:color w:val="auto"/>
        </w:rPr>
      </w:pPr>
      <w:r>
        <w:rPr>
          <w:rFonts w:ascii="Arial" w:cs="Arial" w:eastAsia="Arial" w:hAnsi="Arial"/>
          <w:sz w:val="20"/>
          <w:szCs w:val="20"/>
          <w:color w:val="auto"/>
        </w:rPr>
        <w:t>From the time of initial confidential submission of a registration statement relating to the Shares with the Commission through the date hereof, the Company has been and is an “emerging growth company” as defined in Section 2(a)</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of the Act (an “Emerging Growth Company”);</w:t>
      </w:r>
    </w:p>
    <w:p>
      <w:pPr>
        <w:spacing w:after="0" w:line="176" w:lineRule="exact"/>
        <w:rPr>
          <w:rFonts w:ascii="Arial" w:cs="Arial" w:eastAsia="Arial" w:hAnsi="Arial"/>
          <w:sz w:val="20"/>
          <w:szCs w:val="20"/>
          <w:color w:val="auto"/>
        </w:rPr>
      </w:pPr>
    </w:p>
    <w:p>
      <w:pPr>
        <w:jc w:val="both"/>
        <w:ind w:firstLine="872"/>
        <w:spacing w:after="0" w:line="245" w:lineRule="auto"/>
        <w:tabs>
          <w:tab w:leader="none" w:pos="1863"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w:t>
      </w:r>
    </w:p>
    <w:p>
      <w:pPr>
        <w:spacing w:after="0" w:line="159" w:lineRule="exact"/>
        <w:rPr>
          <w:rFonts w:ascii="Arial" w:cs="Arial" w:eastAsia="Arial" w:hAnsi="Arial"/>
          <w:sz w:val="20"/>
          <w:szCs w:val="20"/>
          <w:color w:val="auto"/>
        </w:rPr>
      </w:pPr>
    </w:p>
    <w:p>
      <w:pPr>
        <w:jc w:val="both"/>
        <w:ind w:firstLine="872"/>
        <w:spacing w:after="0" w:line="239" w:lineRule="auto"/>
        <w:tabs>
          <w:tab w:leader="none" w:pos="1841" w:val="left"/>
        </w:tabs>
        <w:numPr>
          <w:ilvl w:val="1"/>
          <w:numId w:val="16"/>
        </w:numPr>
        <w:rPr>
          <w:rFonts w:ascii="Arial" w:cs="Arial" w:eastAsia="Arial" w:hAnsi="Arial"/>
          <w:sz w:val="20"/>
          <w:szCs w:val="20"/>
          <w:color w:val="auto"/>
        </w:rPr>
      </w:pPr>
      <w:r>
        <w:rPr>
          <w:rFonts w:ascii="Arial" w:cs="Arial" w:eastAsia="Arial" w:hAnsi="Arial"/>
          <w:sz w:val="20"/>
          <w:szCs w:val="20"/>
          <w:color w:val="auto"/>
        </w:rPr>
        <w:t>No labor disturbance by or dispute with current or former employees or officers of the Company exists or, to the Company’s knowledge, is contemplated or threatened, and the Company is not aware of any existing or imminent labor disturbance by, or dispute with, the employees of any of the Company’s principal suppliers, manufacturers or contractors. The Company is not a party to any collective bargaining agreement;</w:t>
      </w:r>
    </w:p>
    <w:p>
      <w:pPr>
        <w:spacing w:after="0" w:line="163" w:lineRule="exact"/>
        <w:rPr>
          <w:rFonts w:ascii="Arial" w:cs="Arial" w:eastAsia="Arial" w:hAnsi="Arial"/>
          <w:sz w:val="20"/>
          <w:szCs w:val="20"/>
          <w:color w:val="auto"/>
        </w:rPr>
      </w:pPr>
    </w:p>
    <w:p>
      <w:pPr>
        <w:jc w:val="both"/>
        <w:ind w:firstLine="872"/>
        <w:spacing w:after="0" w:line="246" w:lineRule="auto"/>
        <w:tabs>
          <w:tab w:leader="none" w:pos="1863"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Company and its subsidiaries have insurance covering their respective properties, operations, personnel and businesses, including business interruption insurance, which insurance is in amounts and insures against such losses and risks as are reasonable and is ordinary and customary for comparable companies in the same or similar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60" w:lineRule="exact"/>
        <w:rPr>
          <w:rFonts w:ascii="Arial" w:cs="Arial" w:eastAsia="Arial" w:hAnsi="Arial"/>
          <w:sz w:val="19"/>
          <w:szCs w:val="19"/>
          <w:color w:val="auto"/>
        </w:rPr>
      </w:pPr>
    </w:p>
    <w:p>
      <w:pPr>
        <w:jc w:val="both"/>
        <w:ind w:firstLine="872"/>
        <w:spacing w:after="0" w:line="233" w:lineRule="auto"/>
        <w:tabs>
          <w:tab w:leader="none" w:pos="1863"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Company and its subsidiaries, and to the Company’s knowledge, their respective directors, officers and employees (in their capacities as agents, affiliates and representatives, are, and at all times have been, in material compliance with all Health Care Laws (defined herein), including, but not limited to, the rules and regulations of the Food and Drug Administration (“FDA”)and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For purposes of this Agreement, “Health Care Laws” shall mean the Federal Food, Drug, and Cosmetic Act (21 U.S.C.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7" w:name="page18"/>
    <w:bookmarkEnd w:id="17"/>
    <w:p>
      <w:pPr>
        <w:jc w:val="both"/>
        <w:ind w:firstLine="8"/>
        <w:spacing w:after="0" w:line="231" w:lineRule="auto"/>
        <w:tabs>
          <w:tab w:leader="none" w:pos="343" w:val="left"/>
        </w:tabs>
        <w:numPr>
          <w:ilvl w:val="0"/>
          <w:numId w:val="17"/>
        </w:numPr>
        <w:rPr>
          <w:rFonts w:ascii="Arial" w:cs="Arial" w:eastAsia="Arial" w:hAnsi="Arial"/>
          <w:sz w:val="20"/>
          <w:szCs w:val="20"/>
          <w:color w:val="auto"/>
        </w:rPr>
      </w:pPr>
      <w:r>
        <w:rPr>
          <w:rFonts w:ascii="Arial" w:cs="Arial" w:eastAsia="Arial" w:hAnsi="Arial"/>
          <w:sz w:val="20"/>
          <w:szCs w:val="20"/>
          <w:color w:val="auto"/>
        </w:rPr>
        <w:t>301 et seq.), and any other applicable federal, state, or foreign health care laws, excluding any Data Protection Requirements.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or oral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court, arbitrator, governmental or regulatory authority or third party, of non-compliance by, or liability of, the Company under any applicable Health Care Laws;</w:t>
      </w:r>
    </w:p>
    <w:p>
      <w:pPr>
        <w:spacing w:after="0" w:line="167" w:lineRule="exact"/>
        <w:rPr>
          <w:rFonts w:ascii="Arial" w:cs="Arial" w:eastAsia="Arial" w:hAnsi="Arial"/>
          <w:sz w:val="20"/>
          <w:szCs w:val="20"/>
          <w:color w:val="auto"/>
        </w:rPr>
      </w:pPr>
    </w:p>
    <w:p>
      <w:pPr>
        <w:jc w:val="both"/>
        <w:ind w:firstLine="872"/>
        <w:spacing w:after="0" w:line="230" w:lineRule="auto"/>
        <w:tabs>
          <w:tab w:leader="none" w:pos="1750" w:val="left"/>
        </w:tabs>
        <w:numPr>
          <w:ilvl w:val="1"/>
          <w:numId w:val="17"/>
        </w:numPr>
        <w:rPr>
          <w:rFonts w:ascii="Arial" w:cs="Arial" w:eastAsia="Arial" w:hAnsi="Arial"/>
          <w:sz w:val="20"/>
          <w:szCs w:val="20"/>
          <w:color w:val="auto"/>
        </w:rPr>
      </w:pPr>
      <w:r>
        <w:rPr>
          <w:rFonts w:ascii="Arial" w:cs="Arial" w:eastAsia="Arial" w:hAnsi="Arial"/>
          <w:sz w:val="20"/>
          <w:szCs w:val="20"/>
          <w:color w:val="auto"/>
        </w:rPr>
        <w:t>Each of the Company and its subsidiaries possesses, and is in material compliance with the terms of, all applications, certificates, approvals, clearances, registrations, exemptions, franchises, licenses, permits, consents and other authorizations necessary to conduct their respective businesses (collectively, “Licenses”), issued by the appropriate governmental authorities, including, without limitation, all Licenses required by the FDA, or any component thereof, the National Institutes of Health (“NIH”) and/or by any other U.S., state, local or foreign government or drug regulatory agency (collectively, the “Regulatory Agencies”). All Licenses are in full force and effect and the Company is not in violation of any term or conditions of any License. Each of the Company and its subsidiaries has fulfilled and performed all of its respective obligations with respect to the Licenses and, no event has occurred which allows, or after notice or lapse of time would allow, revocation or termination thereof or results in any other impairment of the rights of the holder of any License. The Company has not received any written notice of proceedings relating to the revocation or termination of any Licenses and no Regulatory Agency has taken any action to suspend or revoke any License possessed by the Company;</w:t>
      </w:r>
    </w:p>
    <w:p>
      <w:pPr>
        <w:spacing w:after="0" w:line="167" w:lineRule="exact"/>
        <w:rPr>
          <w:rFonts w:ascii="Arial" w:cs="Arial" w:eastAsia="Arial" w:hAnsi="Arial"/>
          <w:sz w:val="20"/>
          <w:szCs w:val="20"/>
          <w:color w:val="auto"/>
        </w:rPr>
      </w:pPr>
    </w:p>
    <w:p>
      <w:pPr>
        <w:jc w:val="both"/>
        <w:ind w:firstLine="872"/>
        <w:spacing w:after="0" w:line="230" w:lineRule="auto"/>
        <w:tabs>
          <w:tab w:leader="none" w:pos="1863"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pre-clinical studies and clinical trials that are described in the Registration Statement, the Pricing Prospectus and the Prospectus and are used to support a regulatory filing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and the results thereof, contained in the Registration Statement, the Pricing Prospectus and the Prospectus are accurate and complete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notices or correspondence from the FDA, any foreign, state or local governmental body exercising comparable authority or any Institutional Review Board requiring the termination, suspension, or clinical hold of any pre-clinical studies or clinical trials conducted by or on behalf of the Company;</w:t>
      </w:r>
    </w:p>
    <w:p>
      <w:pPr>
        <w:spacing w:after="0" w:line="167" w:lineRule="exact"/>
        <w:rPr>
          <w:rFonts w:ascii="Arial" w:cs="Arial" w:eastAsia="Arial" w:hAnsi="Arial"/>
          <w:sz w:val="20"/>
          <w:szCs w:val="20"/>
          <w:color w:val="auto"/>
        </w:rPr>
      </w:pPr>
    </w:p>
    <w:p>
      <w:pPr>
        <w:jc w:val="both"/>
        <w:ind w:firstLine="872"/>
        <w:spacing w:after="0" w:line="234" w:lineRule="auto"/>
        <w:tabs>
          <w:tab w:leader="none" w:pos="1863" w:val="left"/>
        </w:tabs>
        <w:numPr>
          <w:ilvl w:val="1"/>
          <w:numId w:val="17"/>
        </w:numPr>
        <w:rPr>
          <w:rFonts w:ascii="Arial" w:cs="Arial" w:eastAsia="Arial" w:hAnsi="Arial"/>
          <w:sz w:val="20"/>
          <w:szCs w:val="20"/>
          <w:color w:val="auto"/>
        </w:rPr>
      </w:pPr>
      <w:r>
        <w:rPr>
          <w:rFonts w:ascii="Arial" w:cs="Arial" w:eastAsia="Arial" w:hAnsi="Arial"/>
          <w:sz w:val="20"/>
          <w:szCs w:val="20"/>
          <w:color w:val="auto"/>
        </w:rPr>
        <w:t>Neither the Company or its subsidiaries, or any of their respective officers, employees, directors, clinical investigators, or, to the Company’s knowledge, any agents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 or convicted of any crime or engaged in any conduct that would reasonably be expected to result in debarment under 42 U.S.C. § 1320a-7 or 21 U.S.C. § 335a;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8" w:name="page19"/>
    <w:bookmarkEnd w:id="18"/>
    <w:p>
      <w:pPr>
        <w:jc w:val="both"/>
        <w:ind w:firstLine="872"/>
        <w:spacing w:after="0" w:line="226" w:lineRule="auto"/>
        <w:tabs>
          <w:tab w:leader="none" w:pos="1731"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Pricing Prospectus and the Prospectus (collectively, the “Company Intellectual Property”), or to the development, manufacture, operation, and sale of any products and services sold or proposed to be sold by the Company. To the knowledge of the Company, the conduct of its and its subsidiaries’ respective business and the proposed conduct of its business (including the development and commercialization of the product candidates described in the Pricing Prospectus and the Prospectus) has not and will not infringe or misappropriate any intellectual property rights of others; there are no rights of third parties to any of the intellectual property owned by the Company, and such intellectual property is owned by the Company free and clear of all material liens, security interests, or encumbrances; to the knowledge of the Company, the patents, trademarks and copyrights held or licensed by the Company included within the Company Intellectual Property are valid, enforceable and subsisting, and the patent, trademark, and copyright applications included within the Company Intellectual Property are subsisting and have not been abandoned; to the knowledge of the Company, there is no infringement by third parties of any of the Company Intellectual Property in any material respect; other than as disclosed in the Pricing Prospectus and the Prospectus, (i) the Company is not obligated or under any liability whatsoever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is infringing, misappropriating, diluting or otherwise violating, or would, upon the commercialization of any product or service proposed in the Pricing Prospectus and the Prospectus to be conducted, infringe, misappropriate, dilute, or otherwise violate, any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knowledge of the Company, is threatened, challenging the validity, enforceability, scope, registration, ownership or use of any of the Company Intellectual Property, and the Company is unaware of any facts which could form a reasonable basis for any such action, suit, proceeding or claim, (iv) no action, suit, claim or other proceeding is pending or, to the knowledge of the Company, is threatened, challenging the Company’s rights in or to any Company Intellectual Property, and the Company is unaware of any facts which could form a reasonable basis for any such action, suit, proceeding or claim, (v) the Company has not received notice of any claim of infringement, misappropriation or conflict with any asserted rights of others with respect to any of the Company’s products, proposed products, processes or Company Intellectual Property, and the Company is unaware of any facts which would form a reasonable basis for any such claim (vi) to the knowledge of the Company, the development, manufacture, sale, and any currently proposed use of any of the products, proposed products or processes of the Company referred to in the Pricing Prospectus and the Prospectus, in the current or proposed conduct of the business of the Company, do not currently, and will not upon commercialization, to the knowledge of the Company, infringe any right or valid patent claim of any third party, (vii) to the knowledge of the Company, no employee, consultant or independent contractor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(viii) the Company has taken reasonable measures to protect its confidential information and trade secrets and to maintain and safeguard the Company Intellectual Property, including the execution of appropriate nondisclosure and confidentiality agreements, and (ix) the Company has complied in all material respects with the terms of each agreement pursuant to which intellectual property has been licensed to the Company, and all such agreements are in full force and effect. To the knowledge of the Company, all agreements pursuant to which intellectual property has been licensed to the Company are in full force and effect. The lead product candidates described in the Pricing Prospectus and the Prospectus as under development by the Company fall within the scope of the claims of one or more patents or patent applications owned by the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9" w:name="page20"/>
    <w:bookmarkEnd w:id="19"/>
    <w:p>
      <w:pPr>
        <w:jc w:val="both"/>
        <w:ind w:firstLine="872"/>
        <w:spacing w:after="0" w:line="228" w:lineRule="auto"/>
        <w:tabs>
          <w:tab w:leader="none" w:pos="1731" w:val="left"/>
        </w:tabs>
        <w:numPr>
          <w:ilvl w:val="0"/>
          <w:numId w:val="19"/>
        </w:numPr>
        <w:rPr>
          <w:rFonts w:ascii="Arial" w:cs="Arial" w:eastAsia="Arial" w:hAnsi="Arial"/>
          <w:sz w:val="20"/>
          <w:szCs w:val="20"/>
          <w:color w:val="auto"/>
        </w:rPr>
      </w:pPr>
      <w:r>
        <w:rPr>
          <w:rFonts w:ascii="Arial" w:cs="Arial" w:eastAsia="Arial" w:hAnsi="Arial"/>
          <w:sz w:val="20"/>
          <w:szCs w:val="20"/>
          <w:color w:val="auto"/>
        </w:rPr>
        <w:t>(i) Except as would not reasonably be expected, individually or in the aggregate, to result in a Material Adverse Effect, during the past five (5) years, (A), the Company’s and its subsidiaries’ material information technology assets and equipment, computers, technology systems and other systems, networks, hardware, software, websites, applications, and databases (collectively, “IT Systems”) operate and perform in all material respects as required in connection with the operation of the business of the Company and its subsidiaries as currently conducted, free and clear of all material bugs, errors, defects, Trojan horses, time bombs, malware and other corruptants; (B) the Company and its subsidiaries have implemented and maintained all reasonable controls, policies, procedures, and safeguards designed to maintain and protect its confidential information and the privacy, confidentiality, integrity, operation, redundancy and security of all physical storage facilities, IT Systems, and data used by or on behalf of the Company or its subsidiaries in connection with the operation of the Company or its subsidiaries that is considered “personal information,” “personally identifiable information,” “sensitive personal information,” “protected health information,” or “personal data” under applicable law, sensitive personal data, or confidential information (collectively, the “Protected Information”)); and (C) the Company and its subsidiaries have taken all reasonable steps to protect the IT Systems and Protected Information, and have established and maintained commercially reasonable disaster recovery and security plans, procedures and facilities for the business, including, without limitation, for the IT Systems and Protected Information held or used by or for the Company and its subsidiaries; and (D) there have been no security breaches, attacks, or outages of any such IT Systems, or any actual or reasonably suspected security breaches resulting in accidental or unlawful destruction, loss, alteration or unauthorized uses or disclosures of Protected Information, or any other material security incidents or compromises of any IT Systems or Protected Information, nor any notifications by any third parties to the Company or any of its subsidiaries of any of the foregoing.</w:t>
      </w:r>
    </w:p>
    <w:p>
      <w:pPr>
        <w:spacing w:after="0" w:line="168" w:lineRule="exact"/>
        <w:rPr>
          <w:rFonts w:ascii="Arial" w:cs="Arial" w:eastAsia="Arial" w:hAnsi="Arial"/>
          <w:sz w:val="20"/>
          <w:szCs w:val="20"/>
          <w:color w:val="auto"/>
        </w:rPr>
      </w:pPr>
    </w:p>
    <w:p>
      <w:pPr>
        <w:jc w:val="both"/>
        <w:ind w:firstLine="1448"/>
        <w:spacing w:after="0"/>
        <w:tabs>
          <w:tab w:leader="none" w:pos="2307" w:val="left"/>
        </w:tabs>
        <w:numPr>
          <w:ilvl w:val="1"/>
          <w:numId w:val="19"/>
        </w:numPr>
        <w:rPr>
          <w:rFonts w:ascii="Arial" w:cs="Arial" w:eastAsia="Arial" w:hAnsi="Arial"/>
          <w:sz w:val="19"/>
          <w:szCs w:val="19"/>
          <w:color w:val="auto"/>
        </w:rPr>
      </w:pPr>
      <w:r>
        <w:rPr>
          <w:rFonts w:ascii="Arial" w:cs="Arial" w:eastAsia="Arial" w:hAnsi="Arial"/>
          <w:sz w:val="19"/>
          <w:szCs w:val="19"/>
          <w:color w:val="auto"/>
        </w:rPr>
        <w:t>Except as could not reasonably be expected, individually or in the aggregate, to result in a Material Adverse Effect, (A) the Company has at all times in the past five (5) years complied with all (1) data protection, privacy and security policies applicable to the Company, (2) contractual obligations of the Company concerning data protection, privacy, and security with respect to Protected Information, and (3) all applicable laws, statutes, regulations, and directives and all judgments, orders, rules and regulations of any court or arbitrator or governmental or regulatory authority relating to the privacy and security of IT Systems and Protected Information or to the protection of such IT Systems and Protected Information from unauthorized use, access, misappropriation or modification (collectively, the “Data Protection Requirements”); (B) to the extent the Company maintains or transmits personal information, as defined under the California Consumer Privacy Act of 2018 (the “CCPA”), and is subject to the CCPA, the Company is in compliance with all applicable rules and regulations promulgated thereunder; (C) the Company has at all times, to the extent required by applicable Data Protection Requirements, provided adequate notice to and obtained any necessary consents from data subjects for any past and present collection, use, disclosure, international transfer and other processing of Protected Information by or for the Company; and (D) the Company (1) has not in the past five (5) years received written (or, to the Company’s knowledge, other) notice of any actual or potential liability under or relating to, or actual or potential violation of, any of the Data Protection Requirements; (2) is not currently conducting or paying for, in whole or in part, any investigation, remediation, or other corrective action (I) mandated or requested by any legal or regulatory authority relating to any Data Protection Requirement or (II) necessitated by any kind of security breach of, attack on, or outage of any IT System; and (3) is not a party to any order, decree, or agreement by any court or arbitrator or governmental or regulatory authority that imposes any obligation or liability relating to any Data Protection Requirement.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0" w:name="page21"/>
    <w:bookmarkEnd w:id="20"/>
    <w:p>
      <w:pPr>
        <w:jc w:val="both"/>
        <w:ind w:firstLine="872"/>
        <w:spacing w:after="0" w:line="241" w:lineRule="auto"/>
        <w:tabs>
          <w:tab w:leader="none" w:pos="1841" w:val="left"/>
        </w:tabs>
        <w:numPr>
          <w:ilvl w:val="0"/>
          <w:numId w:val="20"/>
        </w:numPr>
        <w:rPr>
          <w:rFonts w:ascii="Arial" w:cs="Arial" w:eastAsia="Arial" w:hAnsi="Arial"/>
          <w:sz w:val="19"/>
          <w:szCs w:val="19"/>
          <w:color w:val="auto"/>
        </w:rPr>
      </w:pPr>
      <w:r>
        <w:rPr>
          <w:rFonts w:ascii="Arial" w:cs="Arial" w:eastAsia="Arial" w:hAnsi="Arial"/>
          <w:sz w:val="19"/>
          <w:szCs w:val="19"/>
          <w:color w:val="auto"/>
        </w:rPr>
        <w:t>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 to the Company’s knowledge there is no prior art that may render any patent within the Company Intellectual Property invalid or that may render any patent application within the Company Intellectual Property unpatentable that has not been disclosed to the U.S. Patent and Trademark Office; none of the Company Intellectual Property has been adjudged by a court of competent jurisdiction invalid or unenforceable in whole or in part; the products and product candidates described in the Pricing Prospectus and the Prospectus as under development by the Company fall within the scope of the claims of one or more patent or pending patent application owned by, or exclusively licensed to, the Company;</w:t>
      </w:r>
    </w:p>
    <w:p>
      <w:pPr>
        <w:spacing w:after="0" w:line="171" w:lineRule="exact"/>
        <w:rPr>
          <w:rFonts w:ascii="Arial" w:cs="Arial" w:eastAsia="Arial" w:hAnsi="Arial"/>
          <w:sz w:val="19"/>
          <w:szCs w:val="19"/>
          <w:color w:val="auto"/>
        </w:rPr>
      </w:pPr>
    </w:p>
    <w:p>
      <w:pPr>
        <w:jc w:val="both"/>
        <w:ind w:firstLine="872"/>
        <w:spacing w:after="0" w:line="245" w:lineRule="auto"/>
        <w:tabs>
          <w:tab w:leader="none" w:pos="1731"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Any statistical, industry-related and market-related data included in the Pricing Prospectus and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59" w:lineRule="exact"/>
        <w:rPr>
          <w:rFonts w:ascii="Arial" w:cs="Arial" w:eastAsia="Arial" w:hAnsi="Arial"/>
          <w:sz w:val="20"/>
          <w:szCs w:val="20"/>
          <w:color w:val="auto"/>
        </w:rPr>
      </w:pPr>
    </w:p>
    <w:p>
      <w:pPr>
        <w:jc w:val="both"/>
        <w:ind w:firstLine="872"/>
        <w:spacing w:after="0" w:line="231" w:lineRule="auto"/>
        <w:tabs>
          <w:tab w:leader="none" w:pos="1973"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and its subsidiaries possess all licenses, certificates, permits and other authorizations issued by, and has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 as described in the Registration Statement, the Pricing Prospectus and the Prospectus, except where the failure to possess or make the same would not, individually or in the aggregate, reasonably be expected to have a Material Adverse Effect; and except as described in the Registration Statement and the Prospectus, the Company has not received written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1" w:name="page22"/>
    <w:bookmarkEnd w:id="21"/>
    <w:p>
      <w:pPr>
        <w:jc w:val="both"/>
        <w:ind w:firstLine="872"/>
        <w:spacing w:after="0" w:line="242" w:lineRule="auto"/>
        <w:tabs>
          <w:tab w:leader="none" w:pos="1863" w:val="left"/>
        </w:tabs>
        <w:numPr>
          <w:ilvl w:val="0"/>
          <w:numId w:val="21"/>
        </w:numPr>
        <w:rPr>
          <w:rFonts w:ascii="Arial" w:cs="Arial" w:eastAsia="Arial" w:hAnsi="Arial"/>
          <w:sz w:val="19"/>
          <w:szCs w:val="19"/>
          <w:color w:val="auto"/>
        </w:rPr>
      </w:pPr>
      <w:r>
        <w:rPr>
          <w:rFonts w:ascii="Arial" w:cs="Arial" w:eastAsia="Arial" w:hAnsi="Arial"/>
          <w:sz w:val="19"/>
          <w:szCs w:val="19"/>
          <w:color w:val="auto"/>
        </w:rPr>
        <w:t>All United States federal income tax returns of the Company and its subsidiaries required by law to be filed have been filed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subsidiaries have filed all other tax returns that are required to have been filed by them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and its subsidiaries, except for such taxes, if any, as are being contested in good faith and as to which adequate reserves have been provided. No tax deficiency has been determined adversely to the Company or its subsidiaries which has (nor does the Company or its subsidiaries have any written notice or knowledge of any tax deficiency which could reasonably be expected to be determined adversely to the Company or its subsidiaries and which would, individually or in the aggregate, reasonably be expected to have) a Material Adverse Effect;</w:t>
      </w:r>
    </w:p>
    <w:p>
      <w:pPr>
        <w:spacing w:after="0" w:line="168" w:lineRule="exact"/>
        <w:rPr>
          <w:rFonts w:ascii="Arial" w:cs="Arial" w:eastAsia="Arial" w:hAnsi="Arial"/>
          <w:sz w:val="19"/>
          <w:szCs w:val="19"/>
          <w:color w:val="auto"/>
        </w:rPr>
      </w:pPr>
    </w:p>
    <w:p>
      <w:pPr>
        <w:ind w:firstLine="872"/>
        <w:spacing w:after="0" w:line="266" w:lineRule="auto"/>
        <w:tabs>
          <w:tab w:leader="none" w:pos="1863"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Company has not taken and will not take, directly or indirectly, any action that is designed to or that has constituted or might reasonably be expected to cause or result in stabilization or manipulation of the price of the Shares;</w:t>
      </w:r>
    </w:p>
    <w:p>
      <w:pPr>
        <w:spacing w:after="0" w:line="138" w:lineRule="exact"/>
        <w:rPr>
          <w:rFonts w:ascii="Arial" w:cs="Arial" w:eastAsia="Arial" w:hAnsi="Arial"/>
          <w:sz w:val="20"/>
          <w:szCs w:val="20"/>
          <w:color w:val="auto"/>
        </w:rPr>
      </w:pPr>
    </w:p>
    <w:p>
      <w:pPr>
        <w:jc w:val="both"/>
        <w:ind w:firstLine="872"/>
        <w:spacing w:after="0" w:line="245" w:lineRule="auto"/>
        <w:tabs>
          <w:tab w:leader="none" w:pos="1863"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Shares;</w:t>
      </w:r>
    </w:p>
    <w:p>
      <w:pPr>
        <w:spacing w:after="0" w:line="159" w:lineRule="exact"/>
        <w:rPr>
          <w:rFonts w:ascii="Arial" w:cs="Arial" w:eastAsia="Arial" w:hAnsi="Arial"/>
          <w:sz w:val="20"/>
          <w:szCs w:val="20"/>
          <w:color w:val="auto"/>
        </w:rPr>
      </w:pPr>
    </w:p>
    <w:p>
      <w:pPr>
        <w:jc w:val="both"/>
        <w:ind w:firstLine="872"/>
        <w:spacing w:after="0" w:line="239" w:lineRule="auto"/>
        <w:tabs>
          <w:tab w:leader="none" w:pos="1863"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 relationship, direct or indirect, exists between or among the Company, on the one hand, and the directors, officers, stockholders, customers or suppliers of the Company, on the other, that is required by the Act to be described in the Registration Statement and the Prospectus and that is not so described in such documents and in the Registration Statement, the Pricing Prospectus and the Prospectus;</w:t>
      </w:r>
    </w:p>
    <w:p>
      <w:pPr>
        <w:spacing w:after="0" w:line="163" w:lineRule="exact"/>
        <w:rPr>
          <w:rFonts w:ascii="Arial" w:cs="Arial" w:eastAsia="Arial" w:hAnsi="Arial"/>
          <w:sz w:val="20"/>
          <w:szCs w:val="20"/>
          <w:color w:val="auto"/>
        </w:rPr>
      </w:pPr>
    </w:p>
    <w:p>
      <w:pPr>
        <w:jc w:val="both"/>
        <w:ind w:firstLine="872"/>
        <w:spacing w:after="0" w:line="239" w:lineRule="auto"/>
        <w:tabs>
          <w:tab w:leader="none" w:pos="1775"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There is and has been no failure on the part of the Company or any of the Company’s directors or officers, in their capacities as such, to comply with any provision of the Sarbanes-Oxley Act of 2002, as amended and the rules and regulations promulgated in connection therewith, including Section 402 related to loans and Sections 302 and 906 related to certifications;</w:t>
      </w:r>
    </w:p>
    <w:p>
      <w:pPr>
        <w:spacing w:after="0" w:line="163" w:lineRule="exact"/>
        <w:rPr>
          <w:rFonts w:ascii="Arial" w:cs="Arial" w:eastAsia="Arial" w:hAnsi="Arial"/>
          <w:sz w:val="20"/>
          <w:szCs w:val="20"/>
          <w:color w:val="auto"/>
        </w:rPr>
      </w:pPr>
    </w:p>
    <w:p>
      <w:pPr>
        <w:jc w:val="both"/>
        <w:ind w:firstLine="872"/>
        <w:spacing w:after="0" w:line="230" w:lineRule="auto"/>
        <w:tabs>
          <w:tab w:leader="none" w:pos="1841"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With respect to the stock options (the “Stock Options”) granted pursuant to the stock-based compensation plans of the Company and its subsidiaries (the “Company Stock Plans”),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Market and any other exchange on which Company securities are traded, and (iv) each such grant was properly accounted for in accordance with GAAP in the financial statements (including the related notes) of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2" w:name="page23"/>
    <w:bookmarkEnd w:id="22"/>
    <w:p>
      <w:pPr>
        <w:jc w:val="both"/>
        <w:spacing w:after="0" w:line="245" w:lineRule="auto"/>
        <w:rPr>
          <w:sz w:val="20"/>
          <w:szCs w:val="20"/>
          <w:color w:val="auto"/>
        </w:rPr>
      </w:pPr>
      <w:r>
        <w:rPr>
          <w:rFonts w:ascii="Arial" w:cs="Arial" w:eastAsia="Arial" w:hAnsi="Arial"/>
          <w:sz w:val="20"/>
          <w:szCs w:val="20"/>
          <w:color w:val="auto"/>
        </w:rPr>
        <w:t>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160" w:lineRule="exact"/>
        <w:rPr>
          <w:sz w:val="20"/>
          <w:szCs w:val="20"/>
          <w:color w:val="auto"/>
        </w:rPr>
      </w:pPr>
    </w:p>
    <w:p>
      <w:pPr>
        <w:jc w:val="both"/>
        <w:ind w:firstLine="872"/>
        <w:spacing w:after="0" w:line="234" w:lineRule="auto"/>
        <w:tabs>
          <w:tab w:leader="none" w:pos="1753"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Registration Statement, the Pricing Disclosure Package and the Prospectus, any Preliminary Prospectus, any Issuer Free Writing Prospectuses and any Written Testing-the-Waters Communication comply in all material respects, and any further amendments or supplements thereto will comply in all material respects, with any applicable laws or regulations of foreign jurisdictions in which the Pricing Disclosure Package, the Prospectus, any Preliminary Prospectus, any Issuer Free Writing Prospectus and any Written Testing-the-Waters Communication, as amended or supplemented, if applicable, are distributed in connection with the Directed Share Program;</w:t>
      </w:r>
    </w:p>
    <w:p>
      <w:pPr>
        <w:spacing w:after="0" w:line="166" w:lineRule="exact"/>
        <w:rPr>
          <w:rFonts w:ascii="Arial" w:cs="Arial" w:eastAsia="Arial" w:hAnsi="Arial"/>
          <w:sz w:val="20"/>
          <w:szCs w:val="20"/>
          <w:color w:val="auto"/>
        </w:rPr>
      </w:pPr>
    </w:p>
    <w:p>
      <w:pPr>
        <w:jc w:val="both"/>
        <w:ind w:firstLine="872"/>
        <w:spacing w:after="0" w:line="245" w:lineRule="auto"/>
        <w:tabs>
          <w:tab w:leader="none" w:pos="1863" w:val="left"/>
        </w:tabs>
        <w:numPr>
          <w:ilvl w:val="1"/>
          <w:numId w:val="22"/>
        </w:numPr>
        <w:rPr>
          <w:rFonts w:ascii="Arial" w:cs="Arial" w:eastAsia="Arial" w:hAnsi="Arial"/>
          <w:sz w:val="20"/>
          <w:szCs w:val="20"/>
          <w:color w:val="auto"/>
        </w:rPr>
      </w:pPr>
      <w:r>
        <w:rPr>
          <w:rFonts w:ascii="Arial" w:cs="Arial" w:eastAsia="Arial" w:hAnsi="Arial"/>
          <w:sz w:val="20"/>
          <w:szCs w:val="20"/>
          <w:color w:val="auto"/>
        </w:rPr>
        <w:t>No authorization, approval, consent, license, order, registration or qualification of or with any government, governmental instrumentality or court, other than such as have been obtained, is necessary under the securities laws and regulations of foreign jurisdictions in which the Directed Shares are offered outside the United States;</w:t>
      </w:r>
    </w:p>
    <w:p>
      <w:pPr>
        <w:spacing w:after="0" w:line="159" w:lineRule="exact"/>
        <w:rPr>
          <w:rFonts w:ascii="Arial" w:cs="Arial" w:eastAsia="Arial" w:hAnsi="Arial"/>
          <w:sz w:val="20"/>
          <w:szCs w:val="20"/>
          <w:color w:val="auto"/>
        </w:rPr>
      </w:pPr>
    </w:p>
    <w:p>
      <w:pPr>
        <w:jc w:val="both"/>
        <w:ind w:firstLine="872"/>
        <w:spacing w:after="0" w:line="245" w:lineRule="auto"/>
        <w:tabs>
          <w:tab w:leader="none" w:pos="1841"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Company has specifically directed in writing the allocation of Shares to each Participant in the Directed Share Program, and neither the Directed Share Underwriter nor any other Underwriter has had any involvement or influence, directly or indirectly, in such allocation decision; and</w:t>
      </w:r>
    </w:p>
    <w:p>
      <w:pPr>
        <w:spacing w:after="0" w:line="159" w:lineRule="exact"/>
        <w:rPr>
          <w:rFonts w:ascii="Arial" w:cs="Arial" w:eastAsia="Arial" w:hAnsi="Arial"/>
          <w:sz w:val="20"/>
          <w:szCs w:val="20"/>
          <w:color w:val="auto"/>
        </w:rPr>
      </w:pPr>
    </w:p>
    <w:p>
      <w:pPr>
        <w:jc w:val="both"/>
        <w:ind w:firstLine="872"/>
        <w:spacing w:after="0" w:line="236" w:lineRule="auto"/>
        <w:tabs>
          <w:tab w:leader="none" w:pos="1929"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Company has not offered, or caused the Directed Share Underwriter or its affiliates to offer, Shares to any person pursuant to the Directed Share Program (i) for any consideration other than the cash payment of the initial public offering price per share set forth in Schedule II hereof or (ii) with the specific intent to unlawfully influence (x) a customer or supplier of the Company to alter the customer or supplier's terms, level or type of business with the Company or (y) a trade journalist or publication to write or publish favorable information about the Company or its products.</w:t>
      </w:r>
    </w:p>
    <w:p>
      <w:pPr>
        <w:spacing w:after="0" w:line="165" w:lineRule="exact"/>
        <w:rPr>
          <w:rFonts w:ascii="Arial" w:cs="Arial" w:eastAsia="Arial" w:hAnsi="Arial"/>
          <w:sz w:val="20"/>
          <w:szCs w:val="20"/>
          <w:color w:val="auto"/>
        </w:rPr>
      </w:pPr>
    </w:p>
    <w:p>
      <w:pPr>
        <w:jc w:val="both"/>
        <w:ind w:firstLine="8"/>
        <w:spacing w:after="0" w:line="229" w:lineRule="auto"/>
        <w:tabs>
          <w:tab w:leader="none" w:pos="813" w:val="left"/>
        </w:tabs>
        <w:numPr>
          <w:ilvl w:val="0"/>
          <w:numId w:val="23"/>
        </w:numPr>
        <w:rPr>
          <w:rFonts w:ascii="Arial" w:cs="Arial" w:eastAsia="Arial" w:hAnsi="Arial"/>
          <w:sz w:val="20"/>
          <w:szCs w:val="20"/>
          <w:color w:val="auto"/>
        </w:rPr>
      </w:pPr>
      <w:r>
        <w:rPr>
          <w:rFonts w:ascii="Arial" w:cs="Arial" w:eastAsia="Arial" w:hAnsi="Arial"/>
          <w:sz w:val="20"/>
          <w:szCs w:val="20"/>
          <w:color w:val="auto"/>
        </w:rPr>
        <w:t>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3" w:name="page24"/>
    <w:bookmarkEnd w:id="23"/>
    <w:p>
      <w:pPr>
        <w:jc w:val="both"/>
        <w:ind w:firstLine="1735"/>
        <w:spacing w:after="0" w:line="231" w:lineRule="auto"/>
        <w:tabs>
          <w:tab w:leader="none" w:pos="2551" w:val="left"/>
        </w:tabs>
        <w:numPr>
          <w:ilvl w:val="2"/>
          <w:numId w:val="24"/>
        </w:numPr>
        <w:rPr>
          <w:rFonts w:ascii="Arial" w:cs="Arial" w:eastAsia="Arial" w:hAnsi="Arial"/>
          <w:sz w:val="20"/>
          <w:szCs w:val="20"/>
          <w:color w:val="auto"/>
        </w:rPr>
      </w:pPr>
      <w:r>
        <w:rPr>
          <w:rFonts w:ascii="Arial" w:cs="Arial" w:eastAsia="Arial" w:hAnsi="Arial"/>
          <w:sz w:val="20"/>
          <w:szCs w:val="20"/>
          <w:color w:val="auto"/>
        </w:rPr>
        <w:t>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67" w:lineRule="exact"/>
        <w:rPr>
          <w:rFonts w:ascii="Arial" w:cs="Arial" w:eastAsia="Arial" w:hAnsi="Arial"/>
          <w:sz w:val="20"/>
          <w:szCs w:val="20"/>
          <w:color w:val="auto"/>
        </w:rPr>
      </w:pPr>
    </w:p>
    <w:p>
      <w:pPr>
        <w:ind w:firstLine="8"/>
        <w:spacing w:after="0" w:line="266" w:lineRule="auto"/>
        <w:tabs>
          <w:tab w:leader="none" w:pos="813" w:val="left"/>
        </w:tabs>
        <w:numPr>
          <w:ilvl w:val="0"/>
          <w:numId w:val="25"/>
        </w:numPr>
        <w:rPr>
          <w:rFonts w:ascii="Arial" w:cs="Arial" w:eastAsia="Arial" w:hAnsi="Arial"/>
          <w:sz w:val="20"/>
          <w:szCs w:val="20"/>
          <w:color w:val="auto"/>
        </w:rPr>
      </w:pPr>
      <w:r>
        <w:rPr>
          <w:rFonts w:ascii="Arial" w:cs="Arial" w:eastAsia="Arial" w:hAnsi="Arial"/>
          <w:sz w:val="20"/>
          <w:szCs w:val="20"/>
          <w:color w:val="auto"/>
        </w:rPr>
        <w:t>Upon the authorization by you of the release of the Firm Shares, the several Underwriters propose to offer the Firm Shares for sale upon the terms and conditions set forth in the Pricing Prospectus and the Prospectus.</w:t>
      </w:r>
    </w:p>
    <w:p>
      <w:pPr>
        <w:spacing w:after="0" w:line="138" w:lineRule="exact"/>
        <w:rPr>
          <w:rFonts w:ascii="Arial" w:cs="Arial" w:eastAsia="Arial" w:hAnsi="Arial"/>
          <w:sz w:val="20"/>
          <w:szCs w:val="20"/>
          <w:color w:val="auto"/>
        </w:rPr>
      </w:pPr>
    </w:p>
    <w:p>
      <w:pPr>
        <w:jc w:val="both"/>
        <w:ind w:firstLine="8"/>
        <w:spacing w:after="0" w:line="229" w:lineRule="auto"/>
        <w:tabs>
          <w:tab w:leader="none" w:pos="813"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2020 or such other time and date as the Representatives and the Company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64" w:lineRule="exact"/>
        <w:rPr>
          <w:rFonts w:ascii="Arial" w:cs="Arial" w:eastAsia="Arial" w:hAnsi="Arial"/>
          <w:sz w:val="20"/>
          <w:szCs w:val="20"/>
          <w:color w:val="auto"/>
        </w:rPr>
      </w:pPr>
    </w:p>
    <w:p>
      <w:pPr>
        <w:jc w:val="both"/>
        <w:ind w:firstLine="872"/>
        <w:spacing w:after="0" w:line="231" w:lineRule="auto"/>
        <w:tabs>
          <w:tab w:leader="none" w:pos="1753"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documents to be delivered at each Time of Delivery by or on behalf of the parties hereto pursuant to Section 8 hereof, including the cross receipt for the Shares and any additional documents requested by the Underwriters pursuant to Section 8(m) hereof, will be delivered at the offices of Cooley LLP, 4401 Eastgate Mall, San Diego, California 92121-1909 (the “Closing Location”), and the Shares will be delivered at the Designated Office, all at such Time of Delivery. A meeting will be held at the Closing Location at [●] [a.m.][p.m.],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4" w:name="page25"/>
    <w:bookmarkEnd w:id="24"/>
    <w:p>
      <w:pPr>
        <w:ind w:left="820" w:hanging="812"/>
        <w:spacing w:after="0"/>
        <w:tabs>
          <w:tab w:leader="none" w:pos="8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 agrees with each of the Underwriters:</w:t>
      </w:r>
    </w:p>
    <w:p>
      <w:pPr>
        <w:spacing w:after="0" w:line="202" w:lineRule="exact"/>
        <w:rPr>
          <w:rFonts w:ascii="Arial" w:cs="Arial" w:eastAsia="Arial" w:hAnsi="Arial"/>
          <w:sz w:val="20"/>
          <w:szCs w:val="20"/>
          <w:color w:val="auto"/>
        </w:rPr>
      </w:pPr>
    </w:p>
    <w:p>
      <w:pPr>
        <w:jc w:val="both"/>
        <w:ind w:firstLine="872"/>
        <w:spacing w:after="0" w:line="229" w:lineRule="auto"/>
        <w:tabs>
          <w:tab w:leader="none" w:pos="1753" w:val="left"/>
        </w:tabs>
        <w:numPr>
          <w:ilvl w:val="1"/>
          <w:numId w:val="26"/>
        </w:numPr>
        <w:rPr>
          <w:rFonts w:ascii="Arial" w:cs="Arial" w:eastAsia="Arial" w:hAnsi="Arial"/>
          <w:sz w:val="20"/>
          <w:szCs w:val="20"/>
          <w:color w:val="auto"/>
        </w:rPr>
      </w:pPr>
      <w:r>
        <w:rPr>
          <w:rFonts w:ascii="Arial" w:cs="Arial" w:eastAsia="Arial" w:hAnsi="Arial"/>
          <w:sz w:val="20"/>
          <w:szCs w:val="20"/>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64" w:lineRule="exact"/>
        <w:rPr>
          <w:rFonts w:ascii="Arial" w:cs="Arial" w:eastAsia="Arial" w:hAnsi="Arial"/>
          <w:sz w:val="20"/>
          <w:szCs w:val="20"/>
          <w:color w:val="auto"/>
        </w:rPr>
      </w:pPr>
    </w:p>
    <w:p>
      <w:pPr>
        <w:jc w:val="both"/>
        <w:ind w:firstLine="872"/>
        <w:spacing w:after="0" w:line="234" w:lineRule="auto"/>
        <w:tabs>
          <w:tab w:leader="none" w:pos="1753" w:val="left"/>
        </w:tabs>
        <w:numPr>
          <w:ilvl w:val="1"/>
          <w:numId w:val="26"/>
        </w:numPr>
        <w:rPr>
          <w:rFonts w:ascii="Arial" w:cs="Arial" w:eastAsia="Arial" w:hAnsi="Arial"/>
          <w:sz w:val="20"/>
          <w:szCs w:val="20"/>
          <w:color w:val="auto"/>
        </w:rPr>
      </w:pPr>
      <w:r>
        <w:rPr>
          <w:rFonts w:ascii="Arial" w:cs="Arial" w:eastAsia="Arial" w:hAnsi="Arial"/>
          <w:sz w:val="20"/>
          <w:szCs w:val="20"/>
          <w:color w:val="auto"/>
        </w:rPr>
        <w:t>Promptly from time to time to take such action as you may reasonably request to qualify the Shares for offering and sale under the securities laws of such jurisdictions as you may request and to use reasonable commercial efforts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166" w:lineRule="exact"/>
        <w:rPr>
          <w:rFonts w:ascii="Arial" w:cs="Arial" w:eastAsia="Arial" w:hAnsi="Arial"/>
          <w:sz w:val="20"/>
          <w:szCs w:val="20"/>
          <w:color w:val="auto"/>
        </w:rPr>
      </w:pPr>
    </w:p>
    <w:p>
      <w:pPr>
        <w:jc w:val="both"/>
        <w:ind w:firstLine="872"/>
        <w:spacing w:after="0" w:line="228" w:lineRule="auto"/>
        <w:tabs>
          <w:tab w:leader="none" w:pos="1742" w:val="left"/>
        </w:tabs>
        <w:numPr>
          <w:ilvl w:val="1"/>
          <w:numId w:val="26"/>
        </w:numPr>
        <w:rPr>
          <w:rFonts w:ascii="Arial" w:cs="Arial" w:eastAsia="Arial" w:hAnsi="Arial"/>
          <w:sz w:val="20"/>
          <w:szCs w:val="20"/>
          <w:color w:val="auto"/>
        </w:rPr>
      </w:pPr>
      <w:r>
        <w:rPr>
          <w:rFonts w:ascii="Arial" w:cs="Arial" w:eastAsia="Arial" w:hAnsi="Arial"/>
          <w:sz w:val="20"/>
          <w:szCs w:val="20"/>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Preliminary Prospectus and any supplements and amendments thereto or to the Registration Statement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before amending or supplementing the Registration Statement, the Pricing Disclosure Package or the Prospectus, to furnish you a copy of each such proposed amendment or supplement and not file any such proposed amendment or supplement to which you reasonably object, and upon your request to prepare and furnish without charge to each Underwriter and to any dealer in securities (whose name and address the Underwriters shall furnish to the Company) as many written and electronic copies as you may from time to time reasonably request of 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5" w:name="page26"/>
    <w:bookmarkEnd w:id="25"/>
    <w:p>
      <w:pPr>
        <w:jc w:val="both"/>
        <w:spacing w:after="0" w:line="234" w:lineRule="auto"/>
        <w:rPr>
          <w:sz w:val="20"/>
          <w:szCs w:val="20"/>
          <w:color w:val="auto"/>
        </w:rPr>
      </w:pPr>
      <w:r>
        <w:rPr>
          <w:rFonts w:ascii="Arial" w:cs="Arial" w:eastAsia="Arial" w:hAnsi="Arial"/>
          <w:sz w:val="20"/>
          <w:szCs w:val="20"/>
          <w:color w:val="auto"/>
        </w:rPr>
        <w:t>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67" w:lineRule="exact"/>
        <w:rPr>
          <w:sz w:val="20"/>
          <w:szCs w:val="20"/>
          <w:color w:val="auto"/>
        </w:rPr>
      </w:pPr>
    </w:p>
    <w:p>
      <w:pPr>
        <w:jc w:val="both"/>
        <w:ind w:firstLine="872"/>
        <w:spacing w:after="0" w:line="236" w:lineRule="auto"/>
        <w:tabs>
          <w:tab w:leader="none" w:pos="1753" w:val="left"/>
        </w:tabs>
        <w:numPr>
          <w:ilvl w:val="0"/>
          <w:numId w:val="27"/>
        </w:numPr>
        <w:rPr>
          <w:rFonts w:ascii="Arial" w:cs="Arial" w:eastAsia="Arial" w:hAnsi="Arial"/>
          <w:sz w:val="20"/>
          <w:szCs w:val="20"/>
          <w:color w:val="auto"/>
        </w:rPr>
      </w:pPr>
      <w:r>
        <w:rPr>
          <w:rFonts w:ascii="Arial" w:cs="Arial" w:eastAsia="Arial" w:hAnsi="Arial"/>
          <w:sz w:val="20"/>
          <w:szCs w:val="20"/>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65" w:lineRule="exact"/>
        <w:rPr>
          <w:rFonts w:ascii="Arial" w:cs="Arial" w:eastAsia="Arial" w:hAnsi="Arial"/>
          <w:sz w:val="20"/>
          <w:szCs w:val="20"/>
          <w:color w:val="auto"/>
        </w:rPr>
      </w:pPr>
    </w:p>
    <w:p>
      <w:pPr>
        <w:jc w:val="both"/>
        <w:ind w:firstLine="872"/>
        <w:spacing w:after="0" w:line="227" w:lineRule="auto"/>
        <w:tabs>
          <w:tab w:leader="none" w:pos="1753" w:val="left"/>
        </w:tabs>
        <w:numPr>
          <w:ilvl w:val="0"/>
          <w:numId w:val="27"/>
        </w:numPr>
        <w:rPr>
          <w:rFonts w:ascii="Arial" w:cs="Arial" w:eastAsia="Arial" w:hAnsi="Arial"/>
          <w:sz w:val="20"/>
          <w:szCs w:val="20"/>
          <w:color w:val="auto"/>
        </w:rPr>
      </w:pPr>
      <w:r>
        <w:rPr>
          <w:rFonts w:ascii="Arial" w:cs="Arial" w:eastAsia="Arial" w:hAnsi="Arial"/>
          <w:sz w:val="20"/>
          <w:szCs w:val="20"/>
          <w:color w:val="auto"/>
        </w:rPr>
        <w:t>(i)During the period beginning from the date hereof and continuing to and including the date 180 days after the date of the Prospectus (the “Lock-Up Period”), not to (i) offer, sell, contract to sell, pledge, grant any option to purchase, loan, hedge,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(ii) enter into any hedging, swap or other agreement that transfers, in whole or in part, any of the economic consequences of ownership of the Stock or any such other securities, whether any such transaction described in clauses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or (iii) publicly disclose the intention to do any of the foregoing, in each case, without the prior written consent of the Representatives; provided, however, that the restrictions in the foregoing sentence shall not apply to (a) the Shares to be sold hereunder; (b) Shares or any securities (including without limitation options, restricted stock or restricted stock units) convertible into, or exercisable for, shares of Stock pursuant to any employee stock option plan, incentive plan, stock plan, dividend reinvestment plan or otherwise in equity compensation arrangements in place as of the Applicable Time and as described in the Pricing Prospectus; (c) the grant of awards pursuant to employee equity based compensation plans, incentive plan, stock plans or other arrangements in place as of the Applicable Time and as described in the Pricing Prospectus; (d) the filing of a registration statement on Form S-8 in connection with the registration of Shares issuable under any employee equity-based compensation plan, incentive plan, stock plan, dividend reinvestment plan adopted and approved by the Company’s board of directors prior to the Applicable Time and as described in the Pricing Prospectus; and (e) the issuance of up to 5% of the outstanding shares of Stock in connection with the acquisition of the assets of, or a majority or controlling portion of the equity of, or a joint venture with another entity in connection with its acquisition by the Company or any of its subsidiaries of such entity; provided that each recipient of any Shares issued or sold pursuant to clause (b), (c) or (e) above executes and delivers to the Representatives prior to such issuance or sale (as the case may be) an agreement having substantially the same terms as the lock-up letters described in Section 8(j)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6" w:name="page27"/>
    <w:bookmarkEnd w:id="26"/>
    <w:p>
      <w:pPr>
        <w:jc w:val="both"/>
        <w:ind w:firstLine="1735"/>
        <w:spacing w:after="0" w:line="236" w:lineRule="auto"/>
        <w:tabs>
          <w:tab w:leader="none" w:pos="2595" w:val="left"/>
        </w:tabs>
        <w:numPr>
          <w:ilvl w:val="1"/>
          <w:numId w:val="28"/>
        </w:numPr>
        <w:rPr>
          <w:rFonts w:ascii="Arial" w:cs="Arial" w:eastAsia="Arial" w:hAnsi="Arial"/>
          <w:sz w:val="20"/>
          <w:szCs w:val="20"/>
          <w:color w:val="auto"/>
        </w:rPr>
      </w:pPr>
      <w:r>
        <w:rPr>
          <w:rFonts w:ascii="Arial" w:cs="Arial" w:eastAsia="Arial" w:hAnsi="Arial"/>
          <w:sz w:val="20"/>
          <w:szCs w:val="20"/>
          <w:color w:val="auto"/>
        </w:rPr>
        <w:t>If the Representatives, in their sole discretion, agree to release or waive the restrictions set forth in a lock-up letter delivered pursuant to Section 8(j)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165" w:lineRule="exact"/>
        <w:rPr>
          <w:rFonts w:ascii="Arial" w:cs="Arial" w:eastAsia="Arial" w:hAnsi="Arial"/>
          <w:sz w:val="20"/>
          <w:szCs w:val="20"/>
          <w:color w:val="auto"/>
        </w:rPr>
      </w:pPr>
    </w:p>
    <w:p>
      <w:pPr>
        <w:jc w:val="both"/>
        <w:ind w:firstLine="1735"/>
        <w:spacing w:after="0" w:line="232" w:lineRule="auto"/>
        <w:tabs>
          <w:tab w:leader="none" w:pos="2639" w:val="left"/>
        </w:tabs>
        <w:numPr>
          <w:ilvl w:val="1"/>
          <w:numId w:val="28"/>
        </w:numPr>
        <w:rPr>
          <w:rFonts w:ascii="Arial" w:cs="Arial" w:eastAsia="Arial" w:hAnsi="Arial"/>
          <w:sz w:val="20"/>
          <w:szCs w:val="20"/>
          <w:color w:val="auto"/>
        </w:rPr>
      </w:pPr>
      <w:r>
        <w:rPr>
          <w:rFonts w:ascii="Arial" w:cs="Arial" w:eastAsia="Arial" w:hAnsi="Arial"/>
          <w:sz w:val="20"/>
          <w:szCs w:val="20"/>
          <w:color w:val="auto"/>
        </w:rPr>
        <w:t>To enforce all existing agreements between the Company and any of its securityholders that prohibit the sale, transfer, assignment, pledge or hypothecation of any of the Company’s securities in connection with the Company’s initial public offering until, in respect of any particular securityholder, the earlier to occur of (i) the expiration of the Lock-Up Period or (ii) the expiration of any similar arrangement entered into by such securityholder with the Representatives; to direct the transfer agent to place stop transfer restrictions upon any such securities of the Company that are bound by such existing “lock-up,” “market stand-off,” “holdback” or similar provisions of such agreements for the duration of the periods contemplated in the preceding clause; and not to release or otherwise grant any waiver of such provisions in such agreements during such periods without the prior written consent of the Representatives, on behalf of the Underwriters;</w:t>
      </w:r>
    </w:p>
    <w:p>
      <w:pPr>
        <w:spacing w:after="0" w:line="165" w:lineRule="exact"/>
        <w:rPr>
          <w:rFonts w:ascii="Arial" w:cs="Arial" w:eastAsia="Arial" w:hAnsi="Arial"/>
          <w:sz w:val="20"/>
          <w:szCs w:val="20"/>
          <w:color w:val="auto"/>
        </w:rPr>
      </w:pPr>
    </w:p>
    <w:p>
      <w:pPr>
        <w:jc w:val="both"/>
        <w:ind w:firstLine="872"/>
        <w:spacing w:after="0" w:line="234" w:lineRule="auto"/>
        <w:tabs>
          <w:tab w:leader="none" w:pos="1698" w:val="left"/>
        </w:tabs>
        <w:numPr>
          <w:ilvl w:val="0"/>
          <w:numId w:val="29"/>
        </w:numPr>
        <w:rPr>
          <w:rFonts w:ascii="Arial" w:cs="Arial" w:eastAsia="Arial" w:hAnsi="Arial"/>
          <w:sz w:val="20"/>
          <w:szCs w:val="20"/>
          <w:color w:val="auto"/>
        </w:rPr>
      </w:pPr>
      <w:r>
        <w:rPr>
          <w:rFonts w:ascii="Arial" w:cs="Arial" w:eastAsia="Arial" w:hAnsi="Arial"/>
          <w:sz w:val="20"/>
          <w:szCs w:val="20"/>
          <w:color w:val="auto"/>
        </w:rPr>
        <w:t>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w:t>
      </w:r>
    </w:p>
    <w:p>
      <w:pPr>
        <w:spacing w:after="0" w:line="166" w:lineRule="exact"/>
        <w:rPr>
          <w:rFonts w:ascii="Arial" w:cs="Arial" w:eastAsia="Arial" w:hAnsi="Arial"/>
          <w:sz w:val="20"/>
          <w:szCs w:val="20"/>
          <w:color w:val="auto"/>
        </w:rPr>
      </w:pPr>
    </w:p>
    <w:p>
      <w:pPr>
        <w:jc w:val="both"/>
        <w:ind w:firstLine="872"/>
        <w:spacing w:after="0" w:line="230" w:lineRule="auto"/>
        <w:tabs>
          <w:tab w:leader="none" w:pos="1753" w:val="left"/>
        </w:tabs>
        <w:numPr>
          <w:ilvl w:val="0"/>
          <w:numId w:val="29"/>
        </w:numPr>
        <w:rPr>
          <w:rFonts w:ascii="Arial" w:cs="Arial" w:eastAsia="Arial" w:hAnsi="Arial"/>
          <w:sz w:val="20"/>
          <w:szCs w:val="20"/>
          <w:color w:val="auto"/>
        </w:rPr>
      </w:pPr>
      <w:r>
        <w:rPr>
          <w:rFonts w:ascii="Arial" w:cs="Arial" w:eastAsia="Arial" w:hAnsi="Arial"/>
          <w:sz w:val="20"/>
          <w:szCs w:val="20"/>
          <w:color w:val="auto"/>
        </w:rPr>
        <w:t>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generally,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5(g) to the extent that they are available on the Commission’s EDGAR system;</w:t>
      </w:r>
    </w:p>
    <w:p>
      <w:pPr>
        <w:spacing w:after="0" w:line="172" w:lineRule="exact"/>
        <w:rPr>
          <w:rFonts w:ascii="Arial" w:cs="Arial" w:eastAsia="Arial" w:hAnsi="Arial"/>
          <w:sz w:val="20"/>
          <w:szCs w:val="20"/>
          <w:color w:val="auto"/>
        </w:rPr>
      </w:pPr>
    </w:p>
    <w:p>
      <w:pPr>
        <w:ind w:firstLine="872"/>
        <w:spacing w:after="0" w:line="266" w:lineRule="auto"/>
        <w:tabs>
          <w:tab w:leader="none" w:pos="1753" w:val="left"/>
        </w:tabs>
        <w:numPr>
          <w:ilvl w:val="0"/>
          <w:numId w:val="29"/>
        </w:numPr>
        <w:rPr>
          <w:rFonts w:ascii="Arial" w:cs="Arial" w:eastAsia="Arial" w:hAnsi="Arial"/>
          <w:sz w:val="20"/>
          <w:szCs w:val="20"/>
          <w:color w:val="auto"/>
        </w:rPr>
      </w:pPr>
      <w:r>
        <w:rPr>
          <w:rFonts w:ascii="Arial" w:cs="Arial" w:eastAsia="Arial" w:hAnsi="Arial"/>
          <w:sz w:val="20"/>
          <w:szCs w:val="20"/>
          <w:color w:val="auto"/>
        </w:rPr>
        <w:t>To use the net proceeds received by it from the sale of the Shares pursuant to this Agreement in the manner specified in the Pricing Prospectus and the Prospectus under the caption “Use of Proceeds”;</w:t>
      </w:r>
    </w:p>
    <w:p>
      <w:pPr>
        <w:spacing w:after="0" w:line="138" w:lineRule="exact"/>
        <w:rPr>
          <w:rFonts w:ascii="Arial" w:cs="Arial" w:eastAsia="Arial" w:hAnsi="Arial"/>
          <w:sz w:val="20"/>
          <w:szCs w:val="20"/>
          <w:color w:val="auto"/>
        </w:rPr>
      </w:pPr>
    </w:p>
    <w:p>
      <w:pPr>
        <w:ind w:left="1700" w:hanging="828"/>
        <w:spacing w:after="0"/>
        <w:tabs>
          <w:tab w:leader="none" w:pos="1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To use its best efforts to list, subject to notice of issuance, the Shares on The Nasdaq Global Market;</w:t>
      </w:r>
    </w:p>
    <w:p>
      <w:pPr>
        <w:spacing w:after="0" w:line="202" w:lineRule="exact"/>
        <w:rPr>
          <w:rFonts w:ascii="Arial" w:cs="Arial" w:eastAsia="Arial" w:hAnsi="Arial"/>
          <w:sz w:val="20"/>
          <w:szCs w:val="20"/>
          <w:color w:val="auto"/>
        </w:rPr>
      </w:pPr>
    </w:p>
    <w:p>
      <w:pPr>
        <w:ind w:left="1700" w:hanging="828"/>
        <w:spacing w:after="0"/>
        <w:tabs>
          <w:tab w:leader="none" w:pos="1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To file with the Commission such information on Form 10-Q or Form 10-K as may be required by Rule 463</w:t>
      </w:r>
    </w:p>
    <w:p>
      <w:pPr>
        <w:spacing w:after="0" w:line="1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under the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7" w:name="page28"/>
    <w:bookmarkEnd w:id="27"/>
    <w:p>
      <w:pPr>
        <w:jc w:val="both"/>
        <w:ind w:firstLine="872"/>
        <w:spacing w:after="0" w:line="239" w:lineRule="auto"/>
        <w:tabs>
          <w:tab w:leader="none" w:pos="1742" w:val="left"/>
        </w:tabs>
        <w:numPr>
          <w:ilvl w:val="1"/>
          <w:numId w:val="30"/>
        </w:numPr>
        <w:rPr>
          <w:rFonts w:ascii="Arial" w:cs="Arial" w:eastAsia="Arial" w:hAnsi="Arial"/>
          <w:sz w:val="20"/>
          <w:szCs w:val="20"/>
          <w:color w:val="auto"/>
        </w:rPr>
      </w:pPr>
      <w:r>
        <w:rPr>
          <w:rFonts w:ascii="Arial" w:cs="Arial" w:eastAsia="Arial" w:hAnsi="Arial"/>
          <w:sz w:val="20"/>
          <w:szCs w:val="20"/>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63" w:lineRule="exact"/>
        <w:rPr>
          <w:rFonts w:ascii="Arial" w:cs="Arial" w:eastAsia="Arial" w:hAnsi="Arial"/>
          <w:sz w:val="20"/>
          <w:szCs w:val="20"/>
          <w:color w:val="auto"/>
        </w:rPr>
      </w:pPr>
    </w:p>
    <w:p>
      <w:pPr>
        <w:jc w:val="both"/>
        <w:ind w:firstLine="872"/>
        <w:spacing w:after="0" w:line="236" w:lineRule="auto"/>
        <w:tabs>
          <w:tab w:leader="none" w:pos="1687" w:val="left"/>
        </w:tabs>
        <w:numPr>
          <w:ilvl w:val="1"/>
          <w:numId w:val="30"/>
        </w:numPr>
        <w:rPr>
          <w:rFonts w:ascii="Arial" w:cs="Arial" w:eastAsia="Arial" w:hAnsi="Arial"/>
          <w:sz w:val="20"/>
          <w:szCs w:val="20"/>
          <w:color w:val="auto"/>
        </w:rPr>
      </w:pPr>
      <w:r>
        <w:rPr>
          <w:rFonts w:ascii="Arial" w:cs="Arial" w:eastAsia="Arial" w:hAnsi="Arial"/>
          <w:sz w:val="20"/>
          <w:szCs w:val="20"/>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165" w:lineRule="exact"/>
        <w:rPr>
          <w:rFonts w:ascii="Arial" w:cs="Arial" w:eastAsia="Arial" w:hAnsi="Arial"/>
          <w:sz w:val="20"/>
          <w:szCs w:val="20"/>
          <w:color w:val="auto"/>
        </w:rPr>
      </w:pPr>
    </w:p>
    <w:p>
      <w:pPr>
        <w:ind w:right="20" w:firstLine="872"/>
        <w:spacing w:after="0" w:line="266" w:lineRule="auto"/>
        <w:tabs>
          <w:tab w:leader="none" w:pos="1808" w:val="left"/>
        </w:tabs>
        <w:numPr>
          <w:ilvl w:val="1"/>
          <w:numId w:val="30"/>
        </w:numPr>
        <w:rPr>
          <w:rFonts w:ascii="Arial" w:cs="Arial" w:eastAsia="Arial" w:hAnsi="Arial"/>
          <w:sz w:val="20"/>
          <w:szCs w:val="20"/>
          <w:color w:val="auto"/>
        </w:rPr>
      </w:pPr>
      <w:r>
        <w:rPr>
          <w:rFonts w:ascii="Arial" w:cs="Arial" w:eastAsia="Arial" w:hAnsi="Arial"/>
          <w:sz w:val="20"/>
          <w:szCs w:val="20"/>
          <w:color w:val="auto"/>
        </w:rPr>
        <w:t>To comply with all applicable securities and other laws, rules and regulations in each jurisdiction in which the Directed Shares are offered in connection with the Directed Share Program;</w:t>
      </w:r>
    </w:p>
    <w:p>
      <w:pPr>
        <w:spacing w:after="0" w:line="138" w:lineRule="exact"/>
        <w:rPr>
          <w:rFonts w:ascii="Arial" w:cs="Arial" w:eastAsia="Arial" w:hAnsi="Arial"/>
          <w:sz w:val="20"/>
          <w:szCs w:val="20"/>
          <w:color w:val="auto"/>
        </w:rPr>
      </w:pPr>
    </w:p>
    <w:p>
      <w:pPr>
        <w:ind w:firstLine="872"/>
        <w:spacing w:after="0" w:line="266" w:lineRule="auto"/>
        <w:tabs>
          <w:tab w:leader="none" w:pos="1753" w:val="left"/>
        </w:tabs>
        <w:numPr>
          <w:ilvl w:val="1"/>
          <w:numId w:val="30"/>
        </w:numPr>
        <w:rPr>
          <w:rFonts w:ascii="Arial" w:cs="Arial" w:eastAsia="Arial" w:hAnsi="Arial"/>
          <w:sz w:val="20"/>
          <w:szCs w:val="20"/>
          <w:color w:val="auto"/>
        </w:rPr>
      </w:pPr>
      <w:r>
        <w:rPr>
          <w:rFonts w:ascii="Arial" w:cs="Arial" w:eastAsia="Arial" w:hAnsi="Arial"/>
          <w:sz w:val="20"/>
          <w:szCs w:val="20"/>
          <w:color w:val="auto"/>
        </w:rPr>
        <w:t>To promptly notify you if the Company ceases to be an Emerging Growth Company at any time prior to the later of (i) completion of the distribution of the Shares within the meaning of the Act and (ii) last Time of Delivery; and</w:t>
      </w:r>
    </w:p>
    <w:p>
      <w:pPr>
        <w:spacing w:after="0" w:line="138" w:lineRule="exact"/>
        <w:rPr>
          <w:rFonts w:ascii="Arial" w:cs="Arial" w:eastAsia="Arial" w:hAnsi="Arial"/>
          <w:sz w:val="20"/>
          <w:szCs w:val="20"/>
          <w:color w:val="auto"/>
        </w:rPr>
      </w:pPr>
    </w:p>
    <w:p>
      <w:pPr>
        <w:jc w:val="both"/>
        <w:ind w:firstLine="872"/>
        <w:spacing w:after="0" w:line="239" w:lineRule="auto"/>
        <w:tabs>
          <w:tab w:leader="none" w:pos="1753" w:val="left"/>
        </w:tabs>
        <w:numPr>
          <w:ilvl w:val="1"/>
          <w:numId w:val="30"/>
        </w:numPr>
        <w:rPr>
          <w:rFonts w:ascii="Arial" w:cs="Arial" w:eastAsia="Arial" w:hAnsi="Arial"/>
          <w:sz w:val="20"/>
          <w:szCs w:val="20"/>
          <w:color w:val="auto"/>
        </w:rPr>
      </w:pPr>
      <w:r>
        <w:rPr>
          <w:rFonts w:ascii="Arial" w:cs="Arial" w:eastAsia="Arial" w:hAnsi="Arial"/>
          <w:sz w:val="20"/>
          <w:szCs w:val="20"/>
          <w:color w:val="auto"/>
        </w:rPr>
        <w:t>To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63" w:lineRule="exact"/>
        <w:rPr>
          <w:rFonts w:ascii="Arial" w:cs="Arial" w:eastAsia="Arial" w:hAnsi="Arial"/>
          <w:sz w:val="20"/>
          <w:szCs w:val="20"/>
          <w:color w:val="auto"/>
        </w:rPr>
      </w:pPr>
    </w:p>
    <w:p>
      <w:pPr>
        <w:jc w:val="both"/>
        <w:ind w:firstLine="8"/>
        <w:spacing w:after="0" w:line="234" w:lineRule="auto"/>
        <w:tabs>
          <w:tab w:leader="none" w:pos="813"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166" w:lineRule="exact"/>
        <w:rPr>
          <w:rFonts w:ascii="Arial" w:cs="Arial" w:eastAsia="Arial" w:hAnsi="Arial"/>
          <w:sz w:val="20"/>
          <w:szCs w:val="20"/>
          <w:color w:val="auto"/>
        </w:rPr>
      </w:pPr>
    </w:p>
    <w:p>
      <w:pPr>
        <w:jc w:val="both"/>
        <w:ind w:firstLine="872"/>
        <w:spacing w:after="0" w:line="239" w:lineRule="auto"/>
        <w:tabs>
          <w:tab w:leader="none" w:pos="1753"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63" w:lineRule="exact"/>
        <w:rPr>
          <w:rFonts w:ascii="Arial" w:cs="Arial" w:eastAsia="Arial" w:hAnsi="Arial"/>
          <w:sz w:val="20"/>
          <w:szCs w:val="20"/>
          <w:color w:val="auto"/>
        </w:rPr>
      </w:pPr>
    </w:p>
    <w:p>
      <w:pPr>
        <w:jc w:val="both"/>
        <w:ind w:firstLine="872"/>
        <w:spacing w:after="0" w:line="230" w:lineRule="auto"/>
        <w:tabs>
          <w:tab w:leader="none" w:pos="1742"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made in reliance upon and in conformity with the Underwriter Information;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8" w:name="page29"/>
    <w:bookmarkEnd w:id="28"/>
    <w:p>
      <w:pPr>
        <w:jc w:val="both"/>
        <w:ind w:firstLine="872"/>
        <w:spacing w:after="0" w:line="232" w:lineRule="auto"/>
        <w:tabs>
          <w:tab w:leader="none" w:pos="1753"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165" w:lineRule="exact"/>
        <w:rPr>
          <w:rFonts w:ascii="Arial" w:cs="Arial" w:eastAsia="Arial" w:hAnsi="Arial"/>
          <w:sz w:val="20"/>
          <w:szCs w:val="20"/>
          <w:color w:val="auto"/>
        </w:rPr>
      </w:pPr>
    </w:p>
    <w:p>
      <w:pPr>
        <w:jc w:val="both"/>
        <w:ind w:firstLine="872"/>
        <w:spacing w:after="0" w:line="245" w:lineRule="auto"/>
        <w:tabs>
          <w:tab w:leader="none" w:pos="1753" w:val="left"/>
        </w:tabs>
        <w:numPr>
          <w:ilvl w:val="1"/>
          <w:numId w:val="32"/>
        </w:numPr>
        <w:rPr>
          <w:rFonts w:ascii="Arial" w:cs="Arial" w:eastAsia="Arial" w:hAnsi="Arial"/>
          <w:sz w:val="20"/>
          <w:szCs w:val="20"/>
          <w:color w:val="auto"/>
        </w:rPr>
      </w:pPr>
      <w:r>
        <w:rPr>
          <w:rFonts w:ascii="Arial" w:cs="Arial" w:eastAsia="Arial" w:hAnsi="Arial"/>
          <w:sz w:val="20"/>
          <w:szCs w:val="20"/>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59" w:lineRule="exact"/>
        <w:rPr>
          <w:rFonts w:ascii="Arial" w:cs="Arial" w:eastAsia="Arial" w:hAnsi="Arial"/>
          <w:sz w:val="20"/>
          <w:szCs w:val="20"/>
          <w:color w:val="auto"/>
        </w:rPr>
      </w:pPr>
    </w:p>
    <w:p>
      <w:pPr>
        <w:jc w:val="both"/>
        <w:ind w:firstLine="8"/>
        <w:spacing w:after="0" w:line="228" w:lineRule="auto"/>
        <w:tabs>
          <w:tab w:leader="none" w:pos="813"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Nasdaq Global Market; (v) all fees and disbursements of counsel for the Underwriters in connection with the Directed Share Program and stamp duties, similar taxes or duties or other taxes, if any, incurred by the Underwriters in connection with the Directed Share Program; (vi) the filing fees incident to, and the fees and disbursements of counsel for the Underwriters in connection with, any required review by FINRA of the terms of the sale of the Shares, in an amount not to exceed $35,000; (vii) the cost of preparing stock certificates; (viii) the cost and charges of any transfer agent or registrar; and (ix) all other costs and expenses incident to the performance of its obligations hereunder which are not otherwise specifically provided for in this Section. It is understood, however, that, except as provided in this Section, and Sections 9, 10 and 13 hereof, the Underwriters will pay all of their own costs and expenses, including the fees of their counsel, stock transfer taxes on resale of any of the Shares by them, and any advertising expenses connected with any offers they may make.</w:t>
      </w:r>
    </w:p>
    <w:p>
      <w:pPr>
        <w:spacing w:after="0" w:line="166" w:lineRule="exact"/>
        <w:rPr>
          <w:rFonts w:ascii="Arial" w:cs="Arial" w:eastAsia="Arial" w:hAnsi="Arial"/>
          <w:sz w:val="20"/>
          <w:szCs w:val="20"/>
          <w:color w:val="auto"/>
        </w:rPr>
      </w:pPr>
    </w:p>
    <w:p>
      <w:pPr>
        <w:jc w:val="both"/>
        <w:ind w:firstLine="8"/>
        <w:spacing w:after="0" w:line="239" w:lineRule="auto"/>
        <w:tabs>
          <w:tab w:leader="none" w:pos="813"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9" w:name="page30"/>
    <w:bookmarkEnd w:id="29"/>
    <w:p>
      <w:pPr>
        <w:jc w:val="both"/>
        <w:ind w:firstLine="872"/>
        <w:spacing w:after="0" w:line="230" w:lineRule="auto"/>
        <w:tabs>
          <w:tab w:leader="none" w:pos="1753"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72" w:lineRule="exact"/>
        <w:rPr>
          <w:rFonts w:ascii="Arial" w:cs="Arial" w:eastAsia="Arial" w:hAnsi="Arial"/>
          <w:sz w:val="20"/>
          <w:szCs w:val="20"/>
          <w:color w:val="auto"/>
        </w:rPr>
      </w:pPr>
    </w:p>
    <w:p>
      <w:pPr>
        <w:jc w:val="both"/>
        <w:ind w:firstLine="872"/>
        <w:spacing w:after="0" w:line="239" w:lineRule="auto"/>
        <w:tabs>
          <w:tab w:leader="none" w:pos="1753"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Cooley LLP, counsel for the Underwriters, shall have furnished to you such written opinion and negative assurance letter, dated such Time of Delivery, in form and substance satisfactory to the Representatives, with respect to such matters as the Representatives may reasonably request, and such counsel shall have received such papers and information as they may reasonably request to enable them to pass upon such matters;</w:t>
      </w:r>
    </w:p>
    <w:p>
      <w:pPr>
        <w:spacing w:after="0" w:line="163" w:lineRule="exact"/>
        <w:rPr>
          <w:rFonts w:ascii="Arial" w:cs="Arial" w:eastAsia="Arial" w:hAnsi="Arial"/>
          <w:sz w:val="20"/>
          <w:szCs w:val="20"/>
          <w:color w:val="auto"/>
        </w:rPr>
      </w:pPr>
    </w:p>
    <w:p>
      <w:pPr>
        <w:ind w:firstLine="872"/>
        <w:spacing w:after="0" w:line="292" w:lineRule="auto"/>
        <w:tabs>
          <w:tab w:leader="none" w:pos="1742" w:val="left"/>
        </w:tabs>
        <w:numPr>
          <w:ilvl w:val="0"/>
          <w:numId w:val="34"/>
        </w:numPr>
        <w:rPr>
          <w:rFonts w:ascii="Arial" w:cs="Arial" w:eastAsia="Arial" w:hAnsi="Arial"/>
          <w:sz w:val="19"/>
          <w:szCs w:val="19"/>
          <w:color w:val="auto"/>
        </w:rPr>
      </w:pPr>
      <w:r>
        <w:rPr>
          <w:rFonts w:ascii="Arial" w:cs="Arial" w:eastAsia="Arial" w:hAnsi="Arial"/>
          <w:sz w:val="19"/>
          <w:szCs w:val="19"/>
          <w:color w:val="auto"/>
        </w:rPr>
        <w:t>Wilson Sonsini Goodrich &amp; Rosati PC, counsel for the Company, shall have furnished to the Representatives their written opinion and negative assurance letter, dated such Time of Delivery, , in form and substance satisfactory to you;</w:t>
      </w:r>
    </w:p>
    <w:p>
      <w:pPr>
        <w:spacing w:after="0" w:line="116" w:lineRule="exact"/>
        <w:rPr>
          <w:rFonts w:ascii="Arial" w:cs="Arial" w:eastAsia="Arial" w:hAnsi="Arial"/>
          <w:sz w:val="19"/>
          <w:szCs w:val="19"/>
          <w:color w:val="auto"/>
        </w:rPr>
      </w:pPr>
    </w:p>
    <w:p>
      <w:pPr>
        <w:ind w:right="20" w:firstLine="872"/>
        <w:spacing w:after="0" w:line="266" w:lineRule="auto"/>
        <w:tabs>
          <w:tab w:leader="none" w:pos="1753" w:val="left"/>
        </w:tabs>
        <w:numPr>
          <w:ilvl w:val="0"/>
          <w:numId w:val="34"/>
        </w:numPr>
        <w:rPr>
          <w:rFonts w:ascii="Arial" w:cs="Arial" w:eastAsia="Arial" w:hAnsi="Arial"/>
          <w:sz w:val="20"/>
          <w:szCs w:val="20"/>
          <w:color w:val="auto"/>
        </w:rPr>
      </w:pPr>
      <w:r>
        <w:rPr>
          <w:rFonts w:ascii="Arial" w:cs="Arial" w:eastAsia="Arial" w:hAnsi="Arial"/>
          <w:sz w:val="20"/>
          <w:szCs w:val="20"/>
          <w:color w:val="auto"/>
        </w:rPr>
        <w:t>McNeill Baur PLLC, intellectual property counsel for the Company, shall have furnished to the Representatives their written opinion, dated such Time of Delivery, in form and substance satisfactory to you;</w:t>
      </w:r>
    </w:p>
    <w:p>
      <w:pPr>
        <w:spacing w:after="0" w:line="138" w:lineRule="exact"/>
        <w:rPr>
          <w:rFonts w:ascii="Arial" w:cs="Arial" w:eastAsia="Arial" w:hAnsi="Arial"/>
          <w:sz w:val="20"/>
          <w:szCs w:val="20"/>
          <w:color w:val="auto"/>
        </w:rPr>
      </w:pPr>
    </w:p>
    <w:p>
      <w:pPr>
        <w:jc w:val="both"/>
        <w:ind w:firstLine="872"/>
        <w:spacing w:after="0" w:line="232" w:lineRule="exact"/>
        <w:tabs>
          <w:tab w:leader="none" w:pos="1753" w:val="left"/>
        </w:tabs>
        <w:numPr>
          <w:ilvl w:val="0"/>
          <w:numId w:val="34"/>
        </w:numPr>
        <w:rPr>
          <w:rFonts w:ascii="Arial" w:cs="Arial" w:eastAsia="Arial" w:hAnsi="Arial"/>
          <w:sz w:val="20"/>
          <w:szCs w:val="20"/>
          <w:color w:val="auto"/>
        </w:rPr>
      </w:pPr>
      <w:r>
        <w:rPr>
          <w:rFonts w:ascii="Arial" w:cs="Arial" w:eastAsia="Arial" w:hAnsi="Arial"/>
          <w:sz w:val="20"/>
          <w:szCs w:val="20"/>
          <w:color w:val="auto"/>
        </w:rPr>
        <w:t>On the date of the Prospectus at a time prior to the execution of this Agreement, at 9:30 a.m., New York City time, on the effective date of any post</w:t>
      </w:r>
      <w:r>
        <w:rPr>
          <w:rFonts w:ascii="MS PGothic" w:cs="MS PGothic" w:eastAsia="MS PGothic" w:hAnsi="MS PGothic"/>
          <w:sz w:val="20"/>
          <w:szCs w:val="20"/>
          <w:color w:val="auto"/>
        </w:rPr>
        <w:t>‑</w:t>
      </w:r>
      <w:r>
        <w:rPr>
          <w:rFonts w:ascii="Arial" w:cs="Arial" w:eastAsia="Arial" w:hAnsi="Arial"/>
          <w:sz w:val="20"/>
          <w:szCs w:val="20"/>
          <w:color w:val="auto"/>
        </w:rPr>
        <w:t>effective amendment to the Registration Statement filed subsequent to the date of this Agreement and also at each Time of Delivery, Ernst &amp; Young LLP shall have furnished to the Representatives a letter or letters, dated the respective dates of delivery thereof, in form and substance satisfactory to the Representatives;</w:t>
      </w:r>
    </w:p>
    <w:p>
      <w:pPr>
        <w:spacing w:after="0" w:line="165" w:lineRule="exact"/>
        <w:rPr>
          <w:rFonts w:ascii="Arial" w:cs="Arial" w:eastAsia="Arial" w:hAnsi="Arial"/>
          <w:sz w:val="20"/>
          <w:szCs w:val="20"/>
          <w:color w:val="auto"/>
        </w:rPr>
      </w:pPr>
    </w:p>
    <w:p>
      <w:pPr>
        <w:jc w:val="both"/>
        <w:ind w:firstLine="872"/>
        <w:spacing w:after="0" w:line="222" w:lineRule="exact"/>
        <w:tabs>
          <w:tab w:leader="none" w:pos="1698" w:val="left"/>
        </w:tabs>
        <w:numPr>
          <w:ilvl w:val="0"/>
          <w:numId w:val="34"/>
        </w:numPr>
        <w:rPr>
          <w:rFonts w:ascii="Arial" w:cs="Arial" w:eastAsia="Arial" w:hAnsi="Arial"/>
          <w:sz w:val="20"/>
          <w:szCs w:val="20"/>
          <w:color w:val="auto"/>
        </w:rPr>
      </w:pPr>
      <w:r>
        <w:rPr>
          <w:rFonts w:ascii="Arial" w:cs="Arial" w:eastAsia="Arial" w:hAnsi="Arial"/>
          <w:sz w:val="20"/>
          <w:szCs w:val="20"/>
          <w:color w:val="auto"/>
        </w:rPr>
        <w:t>(i) Neither the Company nor any of its subsidiaries shall have sustained since the date of the latest audited financial statements included in the Pricing Prospectus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respective dates as of which information is given in the Pricing Prospectus and the Prospectus there shall not have been any change in the capital stock (other than as a result of (i) the exercise of stock options or the award of stock options or restricted stock in the ordinary course of business pursuant to the Company’s equity plan that’s are described in the Pricing Prospectus, (ii) the repurchase of shares of capital stock pursuant to agreements providing for an option to repurchase or a right of first refusal on behalf of the Company that are described in the Pricing Prospectus and the Prospectus or (iii) the issuance, if any, of stock upon exercise or conversion of Company securities as described in the Pricing Prospectus and the Prospectus) or long</w:t>
      </w:r>
      <w:r>
        <w:rPr>
          <w:rFonts w:ascii="MS PGothic" w:cs="MS PGothic" w:eastAsia="MS PGothic" w:hAnsi="MS PGothic"/>
          <w:sz w:val="20"/>
          <w:szCs w:val="20"/>
          <w:color w:val="auto"/>
        </w:rPr>
        <w:t>‑</w:t>
      </w:r>
      <w:r>
        <w:rPr>
          <w:rFonts w:ascii="Arial" w:cs="Arial" w:eastAsia="Arial" w:hAnsi="Arial"/>
          <w:sz w:val="20"/>
          <w:szCs w:val="20"/>
          <w:color w:val="auto"/>
        </w:rPr>
        <w:t>term debt of the Company or any of its subsidiaries or any change or effect, or any development involving a prospective change or effect, in or affecting (x) the business, properties,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0" w:name="page31"/>
    <w:bookmarkEnd w:id="30"/>
    <w:p>
      <w:pPr>
        <w:jc w:val="both"/>
        <w:spacing w:after="0" w:line="233" w:lineRule="auto"/>
        <w:rPr>
          <w:sz w:val="20"/>
          <w:szCs w:val="20"/>
          <w:color w:val="auto"/>
        </w:rPr>
      </w:pPr>
      <w:r>
        <w:rPr>
          <w:rFonts w:ascii="Arial" w:cs="Arial" w:eastAsia="Arial" w:hAnsi="Arial"/>
          <w:sz w:val="20"/>
          <w:szCs w:val="20"/>
          <w:color w:val="auto"/>
        </w:rPr>
        <w:t>general affairs, management, financial position, stockholders’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65" w:lineRule="exact"/>
        <w:rPr>
          <w:sz w:val="20"/>
          <w:szCs w:val="20"/>
          <w:color w:val="auto"/>
        </w:rPr>
      </w:pPr>
    </w:p>
    <w:p>
      <w:pPr>
        <w:jc w:val="both"/>
        <w:ind w:firstLine="872"/>
        <w:spacing w:after="0" w:line="238" w:lineRule="auto"/>
        <w:tabs>
          <w:tab w:leader="none" w:pos="1753" w:val="left"/>
        </w:tabs>
        <w:numPr>
          <w:ilvl w:val="1"/>
          <w:numId w:val="35"/>
        </w:numPr>
        <w:rPr>
          <w:rFonts w:ascii="Arial" w:cs="Arial" w:eastAsia="Arial" w:hAnsi="Arial"/>
          <w:sz w:val="20"/>
          <w:szCs w:val="20"/>
          <w:color w:val="auto"/>
        </w:rPr>
      </w:pPr>
      <w:r>
        <w:rPr>
          <w:rFonts w:ascii="Arial" w:cs="Arial" w:eastAsia="Arial" w:hAnsi="Arial"/>
          <w:sz w:val="20"/>
          <w:szCs w:val="20"/>
          <w:color w:val="auto"/>
        </w:rPr>
        <w:t>On or after the Applicable Time (i) no downgrading shall have occurred in the rating accorded the Company’s debt securities by any “nationally recognized statistical rating organization”, as that term is defined in Section 3(a)</w:t>
      </w:r>
    </w:p>
    <w:p>
      <w:pPr>
        <w:spacing w:after="0" w:line="1" w:lineRule="exact"/>
        <w:rPr>
          <w:rFonts w:ascii="Arial" w:cs="Arial" w:eastAsia="Arial" w:hAnsi="Arial"/>
          <w:sz w:val="20"/>
          <w:szCs w:val="20"/>
          <w:color w:val="auto"/>
        </w:rPr>
      </w:pPr>
    </w:p>
    <w:p>
      <w:pPr>
        <w:ind w:right="20" w:firstLine="8"/>
        <w:spacing w:after="0" w:line="239" w:lineRule="auto"/>
        <w:tabs>
          <w:tab w:leader="none" w:pos="439"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under the Exchange Act, and (ii) no such organization shall have publicly announced that it has under surveillance or review, with possible negative implications, its rating of any of the Company’s debt securities;</w:t>
      </w:r>
    </w:p>
    <w:p>
      <w:pPr>
        <w:spacing w:after="0" w:line="163" w:lineRule="exact"/>
        <w:rPr>
          <w:rFonts w:ascii="Arial" w:cs="Arial" w:eastAsia="Arial" w:hAnsi="Arial"/>
          <w:sz w:val="20"/>
          <w:szCs w:val="20"/>
          <w:color w:val="auto"/>
        </w:rPr>
      </w:pPr>
    </w:p>
    <w:p>
      <w:pPr>
        <w:jc w:val="both"/>
        <w:ind w:firstLine="872"/>
        <w:spacing w:after="0" w:line="230" w:lineRule="auto"/>
        <w:tabs>
          <w:tab w:leader="none" w:pos="1753" w:val="left"/>
        </w:tabs>
        <w:numPr>
          <w:ilvl w:val="1"/>
          <w:numId w:val="36"/>
        </w:numPr>
        <w:rPr>
          <w:rFonts w:ascii="Arial" w:cs="Arial" w:eastAsia="Arial" w:hAnsi="Arial"/>
          <w:sz w:val="20"/>
          <w:szCs w:val="20"/>
          <w:color w:val="auto"/>
        </w:rPr>
      </w:pPr>
      <w:r>
        <w:rPr>
          <w:rFonts w:ascii="Arial" w:cs="Arial" w:eastAsia="Arial" w:hAnsi="Arial"/>
          <w:sz w:val="20"/>
          <w:szCs w:val="20"/>
          <w:color w:val="auto"/>
        </w:rPr>
        <w:t>On or after the Applicable Time there shall not have occurred any of the following: (i) a suspension or material limitation in trading in securities generally on the New York Stock Exchange or on The Nasdaq Global Market; (ii) a suspension or material limitation in trading in the Company’s securities on The Nasdaq Global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72" w:lineRule="exact"/>
        <w:rPr>
          <w:rFonts w:ascii="Arial" w:cs="Arial" w:eastAsia="Arial" w:hAnsi="Arial"/>
          <w:sz w:val="20"/>
          <w:szCs w:val="20"/>
          <w:color w:val="auto"/>
        </w:rPr>
      </w:pPr>
    </w:p>
    <w:p>
      <w:pPr>
        <w:ind w:left="1700" w:hanging="828"/>
        <w:spacing w:after="0"/>
        <w:tabs>
          <w:tab w:leader="none" w:pos="17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Shares to be sold at such Time of Delivery shall have been duly listed on The Nasdaq Global Market;</w:t>
      </w:r>
    </w:p>
    <w:p>
      <w:pPr>
        <w:spacing w:after="0" w:line="202" w:lineRule="exact"/>
        <w:rPr>
          <w:rFonts w:ascii="Arial" w:cs="Arial" w:eastAsia="Arial" w:hAnsi="Arial"/>
          <w:sz w:val="20"/>
          <w:szCs w:val="20"/>
          <w:color w:val="auto"/>
        </w:rPr>
      </w:pPr>
    </w:p>
    <w:p>
      <w:pPr>
        <w:jc w:val="both"/>
        <w:ind w:firstLine="872"/>
        <w:spacing w:after="0" w:line="239" w:lineRule="auto"/>
        <w:tabs>
          <w:tab w:leader="none" w:pos="1687"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Company shall have obtained and delivered to the Underwriters executed copies of an agreement from each director, officer, substantially all other security holders of the Company representing substantially all of the shares of capital stock of the Company and, if applicable, Participants, substantially to the effect set forth in Annex V hereof in form and substance satisfactory to the Representatives;</w:t>
      </w:r>
    </w:p>
    <w:p>
      <w:pPr>
        <w:spacing w:after="0" w:line="163" w:lineRule="exact"/>
        <w:rPr>
          <w:rFonts w:ascii="Arial" w:cs="Arial" w:eastAsia="Arial" w:hAnsi="Arial"/>
          <w:sz w:val="20"/>
          <w:szCs w:val="20"/>
          <w:color w:val="auto"/>
        </w:rPr>
      </w:pPr>
    </w:p>
    <w:p>
      <w:pPr>
        <w:ind w:left="1760" w:hanging="888"/>
        <w:spacing w:after="0"/>
        <w:tabs>
          <w:tab w:leader="none" w:pos="1760" w:val="left"/>
        </w:tabs>
        <w:numPr>
          <w:ilvl w:val="1"/>
          <w:numId w:val="36"/>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ind w:firstLine="872"/>
        <w:spacing w:after="0" w:line="266" w:lineRule="auto"/>
        <w:tabs>
          <w:tab w:leader="none" w:pos="1687"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Company shall have complied with the provisions of Section 5(c) hereof with respect to the furnishing of prospectuses on the New York Business Day next succeeding the date of this Agreement; and</w:t>
      </w:r>
    </w:p>
    <w:p>
      <w:pPr>
        <w:spacing w:after="0" w:line="138" w:lineRule="exact"/>
        <w:rPr>
          <w:rFonts w:ascii="Arial" w:cs="Arial" w:eastAsia="Arial" w:hAnsi="Arial"/>
          <w:sz w:val="20"/>
          <w:szCs w:val="20"/>
          <w:color w:val="auto"/>
        </w:rPr>
      </w:pPr>
    </w:p>
    <w:p>
      <w:pPr>
        <w:jc w:val="both"/>
        <w:ind w:firstLine="872"/>
        <w:spacing w:after="0" w:line="236" w:lineRule="auto"/>
        <w:tabs>
          <w:tab w:leader="none" w:pos="1808"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you may reasonably request.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1" w:name="page32"/>
    <w:bookmarkEnd w:id="31"/>
    <w:p>
      <w:pPr>
        <w:jc w:val="both"/>
        <w:ind w:firstLine="8"/>
        <w:spacing w:after="0" w:line="241" w:lineRule="auto"/>
        <w:tabs>
          <w:tab w:leader="none" w:pos="813"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roadshow, or any Testing-the-Waters Communication, in reliance upon and in conformity with the Underwriter Information.</w:t>
      </w:r>
    </w:p>
    <w:p>
      <w:pPr>
        <w:spacing w:after="0" w:line="168" w:lineRule="exact"/>
        <w:rPr>
          <w:rFonts w:ascii="Arial" w:cs="Arial" w:eastAsia="Arial" w:hAnsi="Arial"/>
          <w:sz w:val="19"/>
          <w:szCs w:val="19"/>
          <w:color w:val="auto"/>
        </w:rPr>
      </w:pPr>
    </w:p>
    <w:p>
      <w:pPr>
        <w:jc w:val="both"/>
        <w:ind w:firstLine="872"/>
        <w:spacing w:after="0" w:line="228" w:lineRule="auto"/>
        <w:tabs>
          <w:tab w:leader="none" w:pos="1753" w:val="left"/>
        </w:tabs>
        <w:numPr>
          <w:ilvl w:val="1"/>
          <w:numId w:val="37"/>
        </w:numPr>
        <w:rPr>
          <w:rFonts w:ascii="Arial" w:cs="Arial" w:eastAsia="Arial" w:hAnsi="Arial"/>
          <w:sz w:val="20"/>
          <w:szCs w:val="20"/>
          <w:color w:val="auto"/>
        </w:rPr>
      </w:pPr>
      <w:r>
        <w:rPr>
          <w:rFonts w:ascii="Arial" w:cs="Arial" w:eastAsia="Arial" w:hAnsi="Arial"/>
          <w:sz w:val="20"/>
          <w:szCs w:val="20"/>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ninth, tenth and eleventh paragraphs under the caption “Underwriting”.</w:t>
      </w:r>
    </w:p>
    <w:p>
      <w:pPr>
        <w:spacing w:after="0" w:line="171" w:lineRule="exact"/>
        <w:rPr>
          <w:rFonts w:ascii="Arial" w:cs="Arial" w:eastAsia="Arial" w:hAnsi="Arial"/>
          <w:sz w:val="20"/>
          <w:szCs w:val="20"/>
          <w:color w:val="auto"/>
        </w:rPr>
      </w:pPr>
    </w:p>
    <w:p>
      <w:pPr>
        <w:jc w:val="both"/>
        <w:ind w:firstLine="872"/>
        <w:spacing w:after="0" w:line="236" w:lineRule="auto"/>
        <w:tabs>
          <w:tab w:leader="none" w:pos="1742" w:val="left"/>
        </w:tabs>
        <w:numPr>
          <w:ilvl w:val="1"/>
          <w:numId w:val="37"/>
        </w:numPr>
        <w:rPr>
          <w:rFonts w:ascii="Arial" w:cs="Arial" w:eastAsia="Arial" w:hAnsi="Arial"/>
          <w:sz w:val="20"/>
          <w:szCs w:val="20"/>
          <w:color w:val="auto"/>
        </w:rPr>
      </w:pPr>
      <w:r>
        <w:rPr>
          <w:rFonts w:ascii="Arial" w:cs="Arial" w:eastAsia="Arial" w:hAnsi="Arial"/>
          <w:sz w:val="20"/>
          <w:szCs w:val="20"/>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2" w:name="page33"/>
    <w:bookmarkEnd w:id="32"/>
    <w:p>
      <w:pPr>
        <w:jc w:val="both"/>
        <w:spacing w:after="0" w:line="241" w:lineRule="auto"/>
        <w:rPr>
          <w:sz w:val="20"/>
          <w:szCs w:val="20"/>
          <w:color w:val="auto"/>
        </w:rPr>
      </w:pPr>
      <w:r>
        <w:rPr>
          <w:rFonts w:ascii="Arial" w:cs="Arial" w:eastAsia="Arial" w:hAnsi="Arial"/>
          <w:sz w:val="19"/>
          <w:szCs w:val="19"/>
          <w:color w:val="auto"/>
        </w:rPr>
        <w:t>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65" w:lineRule="exact"/>
        <w:rPr>
          <w:sz w:val="20"/>
          <w:szCs w:val="20"/>
          <w:color w:val="auto"/>
        </w:rPr>
      </w:pPr>
    </w:p>
    <w:p>
      <w:pPr>
        <w:jc w:val="both"/>
        <w:ind w:firstLine="872"/>
        <w:spacing w:after="0" w:line="227" w:lineRule="auto"/>
        <w:tabs>
          <w:tab w:leader="none" w:pos="1753"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3" w:name="page34"/>
    <w:bookmarkEnd w:id="33"/>
    <w:p>
      <w:pPr>
        <w:jc w:val="both"/>
        <w:spacing w:after="0" w:line="234" w:lineRule="auto"/>
        <w:rPr>
          <w:sz w:val="20"/>
          <w:szCs w:val="20"/>
          <w:color w:val="auto"/>
        </w:rPr>
      </w:pPr>
      <w:r>
        <w:rPr>
          <w:rFonts w:ascii="Arial" w:cs="Arial" w:eastAsia="Arial" w:hAnsi="Arial"/>
          <w:sz w:val="20"/>
          <w:szCs w:val="20"/>
          <w:color w:val="auto"/>
        </w:rPr>
        <w:t>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67" w:lineRule="exact"/>
        <w:rPr>
          <w:sz w:val="20"/>
          <w:szCs w:val="20"/>
          <w:color w:val="auto"/>
        </w:rPr>
      </w:pPr>
    </w:p>
    <w:p>
      <w:pPr>
        <w:jc w:val="both"/>
        <w:ind w:firstLine="872"/>
        <w:spacing w:after="0" w:line="234" w:lineRule="auto"/>
        <w:tabs>
          <w:tab w:leader="none" w:pos="1753"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66" w:lineRule="exact"/>
        <w:rPr>
          <w:rFonts w:ascii="Arial" w:cs="Arial" w:eastAsia="Arial" w:hAnsi="Arial"/>
          <w:sz w:val="20"/>
          <w:szCs w:val="20"/>
          <w:color w:val="auto"/>
        </w:rPr>
      </w:pPr>
    </w:p>
    <w:p>
      <w:pPr>
        <w:jc w:val="both"/>
        <w:ind w:firstLine="8"/>
        <w:spacing w:after="0" w:line="229" w:lineRule="auto"/>
        <w:tabs>
          <w:tab w:leader="none" w:pos="923"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The Company will indemnify and hold harmless the Directed Share Underwriter against any losses, claims, damages and liabilities to which the Directed Share Underwriter may become subject, under the Act or otherwise, insofar as such losses, claims damages or liabilities (or actions in respect thereof) (i) arise out of or are based upon an untrue statement or alleged untrue statement of a material fact contained in any material prepared by or with the consent of the Company for distribution to Participants in connection with the Directed Share Program or arise out of or are based upon the omission or alleged omission to state therein a material fact required to be stated therein or necessary to make the statements therein not misleading, (ii) arise out of or are based upon the failure of any Participant to pay for and accept delivery of Directed Shares that the Participant agreed to purchase, or (iii) are related to, arise out of or are in connection with the Directed Share Program, and will reimburse the Directed Share Underwriter for any legal or other expenses reasonably incurred by the Directed Share Underwriter in connection with investigating or defending any such action or claim as such expenses are incurred; provided, however, that with respect to clauses (ii) and (iii) above, the Company shall not be liable in any such case to the extent that any such loss, claim, damage or liability is finally judicially determined to have resulted from the bad faith or gross negligence of the Directed Share Underwriter.</w:t>
      </w:r>
    </w:p>
    <w:p>
      <w:pPr>
        <w:spacing w:after="0" w:line="171" w:lineRule="exact"/>
        <w:rPr>
          <w:rFonts w:ascii="Arial" w:cs="Arial" w:eastAsia="Arial" w:hAnsi="Arial"/>
          <w:sz w:val="20"/>
          <w:szCs w:val="20"/>
          <w:color w:val="auto"/>
        </w:rPr>
      </w:pPr>
    </w:p>
    <w:p>
      <w:pPr>
        <w:jc w:val="both"/>
        <w:ind w:firstLine="872"/>
        <w:spacing w:after="0" w:line="230" w:lineRule="auto"/>
        <w:tabs>
          <w:tab w:leader="none" w:pos="1753" w:val="left"/>
        </w:tabs>
        <w:numPr>
          <w:ilvl w:val="1"/>
          <w:numId w:val="40"/>
        </w:numPr>
        <w:rPr>
          <w:rFonts w:ascii="Arial" w:cs="Arial" w:eastAsia="Arial" w:hAnsi="Arial"/>
          <w:sz w:val="20"/>
          <w:szCs w:val="20"/>
          <w:color w:val="auto"/>
        </w:rPr>
      </w:pPr>
      <w:r>
        <w:rPr>
          <w:rFonts w:ascii="Arial" w:cs="Arial" w:eastAsia="Arial" w:hAnsi="Arial"/>
          <w:sz w:val="20"/>
          <w:szCs w:val="20"/>
          <w:color w:val="auto"/>
        </w:rPr>
        <w:t>Promptly after receipt by the Directed Share Underwriter of notice of the commencement of any action, the Directed Share Underwriter shall, if a claim in respect thereof is to be made against the Company, notify the Company in writing of the commencement thereof; provided that the failure to notify the Company shall not relieve the Company from any liability that it may have under the preceding paragraph of this Section 10 except to the extent that it has been materially prejudiced (through the forfeiture of substantive rights or defenses) by such failure; and provided further that the failure to notify the Company shall not relieve it from any liability that it may have to the Directed Share Underwriter otherwise than under the preceding paragraph of this Section 10. In case any such action shall be brought against the Directed Share Underwriter and it shall notify the Company of the commencement thereof, the Company shall be entitled to participate therein and, to the extent that it shall wish, to assume the defense thereof, with counsel satisfactory to the Directed Share Underwriter (who shall not, except with the consent of the Directed Share Underwriter, be counsel to the Company), and, after notice from the Company to the Directed Share Underwriter of its election so to assume the defense thereof, the Company shall not be liable to the Directed Share Underwriter under this subsection for any legal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4" w:name="page35"/>
    <w:bookmarkEnd w:id="34"/>
    <w:p>
      <w:pPr>
        <w:jc w:val="both"/>
        <w:spacing w:after="0" w:line="232" w:lineRule="auto"/>
        <w:rPr>
          <w:sz w:val="20"/>
          <w:szCs w:val="20"/>
          <w:color w:val="auto"/>
        </w:rPr>
      </w:pPr>
      <w:r>
        <w:rPr>
          <w:rFonts w:ascii="Arial" w:cs="Arial" w:eastAsia="Arial" w:hAnsi="Arial"/>
          <w:sz w:val="20"/>
          <w:szCs w:val="20"/>
          <w:color w:val="auto"/>
        </w:rPr>
        <w:t>expenses of other counsel or any other expenses, in each case subsequently incurred by the Directed Share Underwriter, in connection with the defense thereof other than reasonable costs of investigation. The Company shall not, without the written consent of the Directed Share Underwriter, effect the settlement or compromise of, or consent to the entry of any judgment with respect to, any pending or threatened action or claim in respect of which indemnification or contribution may be sought hereunder (whether or not the Directed Share Underwriter is an actual or potential party to such action or claim) unless such settlement, compromise or judgment (i) includes an unconditional release of the Directed Share Underwriter from all liability arising out of such action or claim and (ii) does not include a statement as to or an admission of fault, culpability or a failure to act, by or on behalf of the Directed Share Underwriter.</w:t>
      </w:r>
    </w:p>
    <w:p>
      <w:pPr>
        <w:spacing w:after="0" w:line="166" w:lineRule="exact"/>
        <w:rPr>
          <w:sz w:val="20"/>
          <w:szCs w:val="20"/>
          <w:color w:val="auto"/>
        </w:rPr>
      </w:pPr>
    </w:p>
    <w:p>
      <w:pPr>
        <w:jc w:val="both"/>
        <w:ind w:firstLine="872"/>
        <w:spacing w:after="0" w:line="227" w:lineRule="auto"/>
        <w:tabs>
          <w:tab w:leader="none" w:pos="1742"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the indemnification provided for in this Section 10 is unavailable to or insufficient to hold harmless the Directed Share Underwriter under subsection (a) above in respect of any losses, claims, damages or liabilities (or actions in respect thereof) referred to therein, then the Company shall contribute to the amount paid or payable by the Directed Share Underwriter as a result of such losses, claims, damages or liabilities (or actions in respect thereof) in such proportion as is appropriate to reflect the relative benefits received by the Company on the one hand and the Directed Share Underwriter on the other from the offering of the Directed Shares. If, however, the allocation provided by the immediately preceding sentence is not permitted by applicable law, then the Company shall contribute to such amount paid or payable by the Directed Share Underwriter in such proportion as is appropriate to reflect not only such relative benefits but also the relative fault of the Company on the one hand and the Directed Share Underwriter on the other in connection with any statements or omissions which resulted in such losses, claims, damages or liabilities (or actions in respect thereof), as well as any other relevant equitable considerations. The relative benefits received by the Company on the one hand and the Directed Share Underwriter on the other shall be deemed to be in the same proportion as the total net proceeds from the offering of the Directed Shares (before deducting expenses) received by the Company bear to the total underwriting discounts and commissions received by the Directed Share Underwriter for the Directed Shares. If the loss, claim, damage or liability arises out of or is based upon an untrue statement or alleged untrue statement of a material fact or arise out of or are based upon the omission or alleged omission to state therein a material fact required to be stated therein or necessary to make the statements therein not misleading, the relative fault shall be determined by reference to, among other things, whether the untrue or alleged untrue statement of a material fact or the omission or alleged omission to state a material fact relates to information supplied by the Company on the one hand or the Directed Share Underwriter on the other and the parties' relative intent, knowledge, access to information and opportunity to correct or prevent such statement or omission. The Company and the Directed Share Underwriter agree that it would not be just and equitable if contribution pursuant to this subsection (c) were determined by pro rata allocation or by any other method of allocation which does not take account of the equitable considerations referred to above in this subsection (c). The amount paid or payable by the Directed Share Underwriter as a result of the losses, claims, damages or liabilities (or actions in respect thereof) referred to above in this subsection (c) shall be deemed to include any legal or other expenses reasonably incurred by the Directed Share Underwriter in connection with investigating or defending any such action or claim. Notwithstanding the provisions of this subsection (c), the Directed Share Underwriter shall not be required to contribute any amount in excess of the amount by which the total price at which the Directed Shares sold by it and distributed to the Participants exceeds the amount of any damages which the Directed Share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5" w:name="page36"/>
    <w:bookmarkEnd w:id="35"/>
    <w:p>
      <w:pPr>
        <w:jc w:val="both"/>
        <w:ind w:firstLine="872"/>
        <w:spacing w:after="0" w:line="239" w:lineRule="auto"/>
        <w:tabs>
          <w:tab w:leader="none" w:pos="1753"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obligations of the Company under this Section 10 shall be in addition to any liability which the Company may otherwise have and shall extend, upon the same terms and conditions, to each employee, officer and director of the Directed Share Underwriter and each person, if any, who controls the Directed Share Underwriter within the meaning of the Act and each broker-dealer or other affiliate of the Directed Share Underwriter.</w:t>
      </w:r>
    </w:p>
    <w:p>
      <w:pPr>
        <w:spacing w:after="0" w:line="163" w:lineRule="exact"/>
        <w:rPr>
          <w:rFonts w:ascii="Arial" w:cs="Arial" w:eastAsia="Arial" w:hAnsi="Arial"/>
          <w:sz w:val="20"/>
          <w:szCs w:val="20"/>
          <w:color w:val="auto"/>
        </w:rPr>
      </w:pPr>
    </w:p>
    <w:p>
      <w:pPr>
        <w:jc w:val="both"/>
        <w:ind w:firstLine="8"/>
        <w:spacing w:after="0" w:line="223" w:lineRule="exact"/>
        <w:tabs>
          <w:tab w:leader="none" w:pos="908"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w:t>
      </w:r>
      <w:r>
        <w:rPr>
          <w:rFonts w:ascii="MS PGothic" w:cs="MS PGothic" w:eastAsia="MS PGothic" w:hAnsi="MS PGothic"/>
          <w:sz w:val="19"/>
          <w:szCs w:val="19"/>
          <w:color w:val="auto"/>
        </w:rPr>
        <w:t>‑</w:t>
      </w:r>
      <w:r>
        <w:rPr>
          <w:rFonts w:ascii="Arial" w:cs="Arial" w:eastAsia="Arial" w:hAnsi="Arial"/>
          <w:sz w:val="19"/>
          <w:szCs w:val="19"/>
          <w:color w:val="auto"/>
        </w:rPr>
        <w:t>six hours after such default by any Underwriter you do not arrange for the purchase of such Shares, then the Company shall be entitled to a further period of thirty</w:t>
      </w:r>
      <w:r>
        <w:rPr>
          <w:rFonts w:ascii="MS PGothic" w:cs="MS PGothic" w:eastAsia="MS PGothic" w:hAnsi="MS PGothic"/>
          <w:sz w:val="19"/>
          <w:szCs w:val="19"/>
          <w:color w:val="auto"/>
        </w:rPr>
        <w:t>‑</w:t>
      </w:r>
      <w:r>
        <w:rPr>
          <w:rFonts w:ascii="Arial" w:cs="Arial" w:eastAsia="Arial" w:hAnsi="Arial"/>
          <w:sz w:val="19"/>
          <w:szCs w:val="19"/>
          <w:color w:val="auto"/>
        </w:rPr>
        <w:t>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69" w:lineRule="exact"/>
        <w:rPr>
          <w:rFonts w:ascii="Arial" w:cs="Arial" w:eastAsia="Arial" w:hAnsi="Arial"/>
          <w:sz w:val="19"/>
          <w:szCs w:val="19"/>
          <w:color w:val="auto"/>
        </w:rPr>
      </w:pPr>
    </w:p>
    <w:p>
      <w:pPr>
        <w:jc w:val="both"/>
        <w:ind w:firstLine="872"/>
        <w:spacing w:after="0" w:line="228" w:lineRule="exact"/>
        <w:tabs>
          <w:tab w:leader="none" w:pos="1753" w:val="left"/>
        </w:tabs>
        <w:numPr>
          <w:ilvl w:val="1"/>
          <w:numId w:val="43"/>
        </w:numPr>
        <w:rPr>
          <w:rFonts w:ascii="Arial" w:cs="Arial" w:eastAsia="Arial" w:hAnsi="Arial"/>
          <w:sz w:val="20"/>
          <w:szCs w:val="20"/>
          <w:color w:val="auto"/>
        </w:rPr>
      </w:pPr>
      <w:r>
        <w:rPr>
          <w:rFonts w:ascii="Arial" w:cs="Arial" w:eastAsia="Arial" w:hAnsi="Arial"/>
          <w:sz w:val="20"/>
          <w:szCs w:val="20"/>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w:t>
      </w:r>
      <w:r>
        <w:rPr>
          <w:rFonts w:ascii="MS PGothic" w:cs="MS PGothic" w:eastAsia="MS PGothic" w:hAnsi="MS PGothic"/>
          <w:sz w:val="20"/>
          <w:szCs w:val="20"/>
          <w:color w:val="auto"/>
        </w:rPr>
        <w:t>‑</w:t>
      </w:r>
      <w:r>
        <w:rPr>
          <w:rFonts w:ascii="Arial" w:cs="Arial" w:eastAsia="Arial" w:hAnsi="Arial"/>
          <w:sz w:val="20"/>
          <w:szCs w:val="20"/>
          <w:color w:val="auto"/>
        </w:rPr>
        <w:t>eleventh of the aggregate number of all the Shares to be purchased at such Time of Delivery, then the Company shall have the right to require each non</w:t>
      </w:r>
      <w:r>
        <w:rPr>
          <w:rFonts w:ascii="MS PGothic" w:cs="MS PGothic" w:eastAsia="MS PGothic" w:hAnsi="MS PGothic"/>
          <w:sz w:val="20"/>
          <w:szCs w:val="20"/>
          <w:color w:val="auto"/>
        </w:rPr>
        <w:t>‑</w:t>
      </w:r>
      <w:r>
        <w:rPr>
          <w:rFonts w:ascii="Arial" w:cs="Arial" w:eastAsia="Arial" w:hAnsi="Arial"/>
          <w:sz w:val="20"/>
          <w:szCs w:val="20"/>
          <w:color w:val="auto"/>
        </w:rPr>
        <w:t>defaulting Underwriter to purchase the number of shares which such Underwriter agreed to purchase hereunder at such Time of Delivery and, in addition, to require each non</w:t>
      </w:r>
      <w:r>
        <w:rPr>
          <w:rFonts w:ascii="MS PGothic" w:cs="MS PGothic" w:eastAsia="MS PGothic" w:hAnsi="MS PGothic"/>
          <w:sz w:val="20"/>
          <w:szCs w:val="20"/>
          <w:color w:val="auto"/>
        </w:rPr>
        <w:t>‑</w:t>
      </w:r>
      <w:r>
        <w:rPr>
          <w:rFonts w:ascii="Arial" w:cs="Arial" w:eastAsia="Arial" w:hAnsi="Arial"/>
          <w:sz w:val="20"/>
          <w:szCs w:val="20"/>
          <w:color w:val="auto"/>
        </w:rPr>
        <w:t>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67" w:lineRule="exact"/>
        <w:rPr>
          <w:rFonts w:ascii="Arial" w:cs="Arial" w:eastAsia="Arial" w:hAnsi="Arial"/>
          <w:sz w:val="20"/>
          <w:szCs w:val="20"/>
          <w:color w:val="auto"/>
        </w:rPr>
      </w:pPr>
    </w:p>
    <w:p>
      <w:pPr>
        <w:jc w:val="both"/>
        <w:ind w:firstLine="872"/>
        <w:spacing w:after="0" w:line="225" w:lineRule="exact"/>
        <w:tabs>
          <w:tab w:leader="none" w:pos="1742" w:val="left"/>
        </w:tabs>
        <w:numPr>
          <w:ilvl w:val="1"/>
          <w:numId w:val="43"/>
        </w:numPr>
        <w:rPr>
          <w:rFonts w:ascii="Arial" w:cs="Arial" w:eastAsia="Arial" w:hAnsi="Arial"/>
          <w:sz w:val="20"/>
          <w:szCs w:val="20"/>
          <w:color w:val="auto"/>
        </w:rPr>
      </w:pPr>
      <w:r>
        <w:rPr>
          <w:rFonts w:ascii="Arial" w:cs="Arial" w:eastAsia="Arial" w:hAnsi="Arial"/>
          <w:sz w:val="20"/>
          <w:szCs w:val="20"/>
          <w:color w:val="auto"/>
        </w:rPr>
        <w:t>If, after giving effect to any arrangements for the purchase of the Shares of a defaulting Underwriter or Underwriters by you and the Company as provided in subsection (a) above, the aggregate number of such Shares which remains unpurchased exceeds one</w:t>
      </w:r>
      <w:r>
        <w:rPr>
          <w:rFonts w:ascii="MS PGothic" w:cs="MS PGothic" w:eastAsia="MS PGothic" w:hAnsi="MS PGothic"/>
          <w:sz w:val="20"/>
          <w:szCs w:val="20"/>
          <w:color w:val="auto"/>
        </w:rPr>
        <w:t>‑</w:t>
      </w:r>
      <w:r>
        <w:rPr>
          <w:rFonts w:ascii="Arial" w:cs="Arial" w:eastAsia="Arial" w:hAnsi="Arial"/>
          <w:sz w:val="20"/>
          <w:szCs w:val="20"/>
          <w:color w:val="auto"/>
        </w:rPr>
        <w:t>eleventh of the aggregate number of all the Shares to be purchased at such Time of Delivery, or if the Company shall not exercise the right described in subsection (b) above to require non</w:t>
      </w:r>
      <w:r>
        <w:rPr>
          <w:rFonts w:ascii="MS PGothic" w:cs="MS PGothic" w:eastAsia="MS PGothic" w:hAnsi="MS PGothic"/>
          <w:sz w:val="20"/>
          <w:szCs w:val="20"/>
          <w:color w:val="auto"/>
        </w:rPr>
        <w:t>‑</w:t>
      </w:r>
      <w:r>
        <w:rPr>
          <w:rFonts w:ascii="Arial" w:cs="Arial" w:eastAsia="Arial" w:hAnsi="Arial"/>
          <w:sz w:val="20"/>
          <w:szCs w:val="20"/>
          <w:color w:val="auto"/>
        </w:rPr>
        <w:t>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Sections 9 and 10 hereof; but nothing herein shall relieve a defaulting Underwriter from liability for its default.</w:t>
      </w:r>
    </w:p>
    <w:p>
      <w:pPr>
        <w:spacing w:after="0" w:line="168" w:lineRule="exact"/>
        <w:rPr>
          <w:rFonts w:ascii="Arial" w:cs="Arial" w:eastAsia="Arial" w:hAnsi="Arial"/>
          <w:sz w:val="20"/>
          <w:szCs w:val="20"/>
          <w:color w:val="auto"/>
        </w:rPr>
      </w:pPr>
    </w:p>
    <w:p>
      <w:pPr>
        <w:jc w:val="both"/>
        <w:ind w:firstLine="8"/>
        <w:spacing w:after="0" w:line="239" w:lineRule="auto"/>
        <w:tabs>
          <w:tab w:leader="none" w:pos="923"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6" w:name="page37"/>
    <w:bookmarkEnd w:id="36"/>
    <w:p>
      <w:pPr>
        <w:jc w:val="both"/>
        <w:spacing w:after="0" w:line="245" w:lineRule="auto"/>
        <w:rPr>
          <w:sz w:val="20"/>
          <w:szCs w:val="20"/>
          <w:color w:val="auto"/>
        </w:rPr>
      </w:pPr>
      <w:r>
        <w:rPr>
          <w:rFonts w:ascii="Arial" w:cs="Arial" w:eastAsia="Arial" w:hAnsi="Arial"/>
          <w:sz w:val="20"/>
          <w:szCs w:val="20"/>
          <w:color w:val="auto"/>
        </w:rPr>
        <w:t>thereof) made by or on behalf of any Underwriter or any director, officer, employee, broker dealer, affiliate or controlling person of any Underwriter, or the Company, or any officer or director or controlling person of the Company, and shall survive delivery of and payment for the Shares.</w:t>
      </w:r>
    </w:p>
    <w:p>
      <w:pPr>
        <w:spacing w:after="0" w:line="160" w:lineRule="exact"/>
        <w:rPr>
          <w:sz w:val="20"/>
          <w:szCs w:val="20"/>
          <w:color w:val="auto"/>
        </w:rPr>
      </w:pPr>
    </w:p>
    <w:p>
      <w:pPr>
        <w:jc w:val="both"/>
        <w:ind w:firstLine="8"/>
        <w:spacing w:after="0" w:line="226" w:lineRule="exact"/>
        <w:tabs>
          <w:tab w:leader="none" w:pos="923"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this Agreement shall be terminated pursuant to Section 11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you for all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65" w:lineRule="exact"/>
        <w:rPr>
          <w:rFonts w:ascii="Arial" w:cs="Arial" w:eastAsia="Arial" w:hAnsi="Arial"/>
          <w:sz w:val="20"/>
          <w:szCs w:val="20"/>
          <w:color w:val="auto"/>
        </w:rPr>
      </w:pPr>
    </w:p>
    <w:p>
      <w:pPr>
        <w:jc w:val="both"/>
        <w:ind w:firstLine="8"/>
        <w:spacing w:after="0" w:line="245" w:lineRule="auto"/>
        <w:tabs>
          <w:tab w:leader="none" w:pos="923"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all dealings hereunder, the Representatives shall act on behalf of each of the Underwriters, and the parties hereto shall be entitled to act and rely upon any statement, request, notice or agreement on behalf of any Underwriter made or given by you jointly or by the Representatives on behalf of the Underwriters.</w:t>
      </w:r>
    </w:p>
    <w:p>
      <w:pPr>
        <w:spacing w:after="0" w:line="160"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color w:val="auto"/>
        </w:rPr>
        <w:t>All statements, requests, notices and agreements hereunder shall be in writing, and (A) if to the Underwriters shall be delivered or sent by mail, telex or facsimile transmission to you as the representatives (i) in care of Goldman Sachs &amp; Co. LLC, 200 West Street, New York, New York 10282-2198, Attention: Registration Department; and (ii) in care of Jefferies LLC, 520 Madison Avenue, New York, New York 10022, Attention: General Counsel; and (B) if to the Company shall be delivered or sent by mail, telex or facsimile transmission to the address of the Company set forth on the cover of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16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0"/>
          <w:szCs w:val="20"/>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4" w:lineRule="exact"/>
        <w:rPr>
          <w:sz w:val="20"/>
          <w:szCs w:val="20"/>
          <w:color w:val="auto"/>
        </w:rPr>
      </w:pPr>
    </w:p>
    <w:p>
      <w:pPr>
        <w:jc w:val="both"/>
        <w:ind w:firstLine="8"/>
        <w:spacing w:after="0" w:line="234" w:lineRule="auto"/>
        <w:tabs>
          <w:tab w:leader="none" w:pos="92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This Agreement shall be binding upon, and inure solely to the benefit of, the Underwriters, the Company and, to the extent provided in Sections 9 and 12 hereof, the officers and directors of the Company and each person who controls the Company or any Underwriter or any director, officer, employee, broker dealer, or affiliate of the Underwriters,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66" w:lineRule="exact"/>
        <w:rPr>
          <w:rFonts w:ascii="Arial" w:cs="Arial" w:eastAsia="Arial" w:hAnsi="Arial"/>
          <w:sz w:val="20"/>
          <w:szCs w:val="20"/>
          <w:color w:val="auto"/>
        </w:rPr>
      </w:pPr>
    </w:p>
    <w:p>
      <w:pPr>
        <w:ind w:firstLine="8"/>
        <w:spacing w:after="0" w:line="266" w:lineRule="auto"/>
        <w:tabs>
          <w:tab w:leader="none" w:pos="92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Time shall be of the essence of this Agreement. As used herein, the term “business day” shall mean any day when the Commission’s office in Washington, D.C. is open for business.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7" w:name="page38"/>
    <w:bookmarkEnd w:id="37"/>
    <w:p>
      <w:pPr>
        <w:jc w:val="both"/>
        <w:ind w:firstLine="8"/>
        <w:spacing w:after="0" w:line="230" w:lineRule="auto"/>
        <w:tabs>
          <w:tab w:leader="none" w:pos="92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72" w:lineRule="exact"/>
        <w:rPr>
          <w:rFonts w:ascii="Arial" w:cs="Arial" w:eastAsia="Arial" w:hAnsi="Arial"/>
          <w:sz w:val="20"/>
          <w:szCs w:val="20"/>
          <w:color w:val="auto"/>
        </w:rPr>
      </w:pPr>
    </w:p>
    <w:p>
      <w:pPr>
        <w:ind w:firstLine="8"/>
        <w:spacing w:after="0" w:line="266" w:lineRule="auto"/>
        <w:tabs>
          <w:tab w:leader="none" w:pos="92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This Agreement supersedes all prior agreements and understandings (whether written or oral) between the Company and the Underwriters, or any of them, with respect to the subject matter hereof.</w:t>
      </w:r>
    </w:p>
    <w:p>
      <w:pPr>
        <w:spacing w:after="0" w:line="138" w:lineRule="exact"/>
        <w:rPr>
          <w:rFonts w:ascii="Arial" w:cs="Arial" w:eastAsia="Arial" w:hAnsi="Arial"/>
          <w:sz w:val="20"/>
          <w:szCs w:val="20"/>
          <w:color w:val="auto"/>
        </w:rPr>
      </w:pPr>
    </w:p>
    <w:p>
      <w:pPr>
        <w:jc w:val="both"/>
        <w:ind w:firstLine="8"/>
        <w:spacing w:after="0" w:line="233" w:lineRule="auto"/>
        <w:tabs>
          <w:tab w:leader="none" w:pos="92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65" w:lineRule="exact"/>
        <w:rPr>
          <w:rFonts w:ascii="Arial" w:cs="Arial" w:eastAsia="Arial" w:hAnsi="Arial"/>
          <w:sz w:val="20"/>
          <w:szCs w:val="20"/>
          <w:color w:val="auto"/>
        </w:rPr>
      </w:pPr>
    </w:p>
    <w:p>
      <w:pPr>
        <w:jc w:val="both"/>
        <w:ind w:firstLine="8"/>
        <w:spacing w:after="0" w:line="245" w:lineRule="auto"/>
        <w:tabs>
          <w:tab w:leader="none" w:pos="92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9" w:lineRule="exact"/>
        <w:rPr>
          <w:rFonts w:ascii="Arial" w:cs="Arial" w:eastAsia="Arial" w:hAnsi="Arial"/>
          <w:sz w:val="20"/>
          <w:szCs w:val="20"/>
          <w:color w:val="auto"/>
        </w:rPr>
      </w:pPr>
    </w:p>
    <w:p>
      <w:pPr>
        <w:jc w:val="both"/>
        <w:ind w:firstLine="8"/>
        <w:spacing w:after="0" w:line="234" w:lineRule="auto"/>
        <w:tabs>
          <w:tab w:leader="none" w:pos="92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complying with the U.S. federal ESIGN Act of 2000, Uniform Electronic Transactions Act or other applicable law, e.g., www. Docusign.com) or other transmission method any counterpart so delivered shall be deemed to have been duly and validly delivered and be valid and effective for all purposes.</w:t>
      </w:r>
    </w:p>
    <w:p>
      <w:pPr>
        <w:spacing w:after="0" w:line="166" w:lineRule="exact"/>
        <w:rPr>
          <w:rFonts w:ascii="Arial" w:cs="Arial" w:eastAsia="Arial" w:hAnsi="Arial"/>
          <w:sz w:val="20"/>
          <w:szCs w:val="20"/>
          <w:color w:val="auto"/>
        </w:rPr>
      </w:pPr>
    </w:p>
    <w:p>
      <w:pPr>
        <w:jc w:val="both"/>
        <w:ind w:firstLine="8"/>
        <w:spacing w:after="0" w:line="234" w:lineRule="auto"/>
        <w:tabs>
          <w:tab w:leader="none" w:pos="923"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66" w:lineRule="exact"/>
        <w:rPr>
          <w:rFonts w:ascii="Arial" w:cs="Arial" w:eastAsia="Arial" w:hAnsi="Arial"/>
          <w:sz w:val="20"/>
          <w:szCs w:val="20"/>
          <w:color w:val="auto"/>
        </w:rPr>
      </w:pPr>
    </w:p>
    <w:p>
      <w:pPr>
        <w:ind w:left="940" w:hanging="932"/>
        <w:spacing w:after="0"/>
        <w:tabs>
          <w:tab w:leader="none" w:pos="9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Recognition of the U.S. Special Resolution Regimes.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8" w:name="page39"/>
    <w:bookmarkEnd w:id="38"/>
    <w:p>
      <w:pPr>
        <w:jc w:val="both"/>
        <w:ind w:firstLine="872"/>
        <w:spacing w:after="0" w:line="236" w:lineRule="auto"/>
        <w:tabs>
          <w:tab w:leader="none" w:pos="1753"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65" w:lineRule="exact"/>
        <w:rPr>
          <w:rFonts w:ascii="Arial" w:cs="Arial" w:eastAsia="Arial" w:hAnsi="Arial"/>
          <w:sz w:val="20"/>
          <w:szCs w:val="20"/>
          <w:color w:val="auto"/>
        </w:rPr>
      </w:pPr>
    </w:p>
    <w:p>
      <w:pPr>
        <w:jc w:val="both"/>
        <w:ind w:firstLine="872"/>
        <w:spacing w:after="0" w:line="236" w:lineRule="auto"/>
        <w:tabs>
          <w:tab w:leader="none" w:pos="1753"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5" w:lineRule="exact"/>
        <w:rPr>
          <w:rFonts w:ascii="Arial" w:cs="Arial" w:eastAsia="Arial" w:hAnsi="Arial"/>
          <w:sz w:val="20"/>
          <w:szCs w:val="20"/>
          <w:color w:val="auto"/>
        </w:rPr>
      </w:pPr>
    </w:p>
    <w:p>
      <w:pPr>
        <w:ind w:left="1760" w:hanging="888"/>
        <w:spacing w:after="0"/>
        <w:tabs>
          <w:tab w:leader="none" w:pos="1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As used in this section:</w:t>
      </w:r>
    </w:p>
    <w:p>
      <w:pPr>
        <w:spacing w:after="0" w:line="202" w:lineRule="exact"/>
        <w:rPr>
          <w:sz w:val="20"/>
          <w:szCs w:val="20"/>
          <w:color w:val="auto"/>
        </w:rPr>
      </w:pPr>
    </w:p>
    <w:p>
      <w:pPr>
        <w:ind w:left="880" w:firstLine="797"/>
        <w:spacing w:after="0" w:line="266" w:lineRule="auto"/>
        <w:rPr>
          <w:sz w:val="20"/>
          <w:szCs w:val="20"/>
          <w:color w:val="auto"/>
        </w:rPr>
      </w:pPr>
      <w:r>
        <w:rPr>
          <w:rFonts w:ascii="Arial" w:cs="Arial" w:eastAsia="Arial" w:hAnsi="Arial"/>
          <w:sz w:val="20"/>
          <w:szCs w:val="20"/>
          <w:color w:val="auto"/>
        </w:rPr>
        <w:t>“BHC Act Affiliate” has the meaning assigned to the term “affiliate” in, and shall be interpreted in accordance with, 12 U.S.C. § 1841(k).</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“Covered Entity” means any of the following:</w:t>
      </w:r>
    </w:p>
    <w:p>
      <w:pPr>
        <w:spacing w:after="0" w:line="202" w:lineRule="exact"/>
        <w:rPr>
          <w:sz w:val="20"/>
          <w:szCs w:val="20"/>
          <w:color w:val="auto"/>
        </w:rPr>
      </w:pPr>
    </w:p>
    <w:p>
      <w:pPr>
        <w:ind w:left="2500" w:hanging="831"/>
        <w:spacing w:after="0"/>
        <w:tabs>
          <w:tab w:leader="none" w:pos="25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w:t>
      </w:r>
    </w:p>
    <w:p>
      <w:pPr>
        <w:spacing w:after="0" w:line="12"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color w:val="auto"/>
        </w:rPr>
        <w:t>252.82(b);</w:t>
      </w:r>
    </w:p>
    <w:p>
      <w:pPr>
        <w:spacing w:after="0" w:line="176" w:lineRule="exact"/>
        <w:rPr>
          <w:rFonts w:ascii="Arial" w:cs="Arial" w:eastAsia="Arial" w:hAnsi="Arial"/>
          <w:sz w:val="20"/>
          <w:szCs w:val="20"/>
          <w:color w:val="auto"/>
        </w:rPr>
      </w:pPr>
    </w:p>
    <w:p>
      <w:pPr>
        <w:ind w:left="2540" w:hanging="871"/>
        <w:spacing w:after="0"/>
        <w:tabs>
          <w:tab w:leader="none" w:pos="2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w:t>
      </w:r>
    </w:p>
    <w:p>
      <w:pPr>
        <w:spacing w:after="0" w:line="23"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0"/>
          <w:szCs w:val="20"/>
          <w:color w:val="auto"/>
        </w:rPr>
        <w:t>or</w:t>
      </w:r>
    </w:p>
    <w:p>
      <w:pPr>
        <w:spacing w:after="0" w:line="176" w:lineRule="exact"/>
        <w:rPr>
          <w:rFonts w:ascii="Arial" w:cs="Arial" w:eastAsia="Arial" w:hAnsi="Arial"/>
          <w:sz w:val="19"/>
          <w:szCs w:val="19"/>
          <w:color w:val="auto"/>
        </w:rPr>
      </w:pPr>
    </w:p>
    <w:p>
      <w:pPr>
        <w:ind w:left="2580" w:hanging="911"/>
        <w:spacing w:after="0"/>
        <w:tabs>
          <w:tab w:leader="none" w:pos="25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214" w:lineRule="exact"/>
        <w:rPr>
          <w:sz w:val="20"/>
          <w:szCs w:val="20"/>
          <w:color w:val="auto"/>
        </w:rPr>
      </w:pPr>
    </w:p>
    <w:p>
      <w:pPr>
        <w:jc w:val="both"/>
        <w:ind w:left="880" w:firstLine="797"/>
        <w:spacing w:after="0" w:line="266"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38" w:lineRule="exact"/>
        <w:rPr>
          <w:sz w:val="20"/>
          <w:szCs w:val="20"/>
          <w:color w:val="auto"/>
        </w:rPr>
      </w:pPr>
    </w:p>
    <w:p>
      <w:pPr>
        <w:jc w:val="both"/>
        <w:ind w:left="880" w:firstLine="797"/>
        <w:spacing w:after="0" w:line="245" w:lineRule="auto"/>
        <w:rPr>
          <w:sz w:val="20"/>
          <w:szCs w:val="20"/>
          <w:color w:val="auto"/>
        </w:rPr>
      </w:pPr>
      <w:r>
        <w:rPr>
          <w:rFonts w:ascii="Arial" w:cs="Arial" w:eastAsia="Arial" w:hAnsi="Arial"/>
          <w:sz w:val="20"/>
          <w:szCs w:val="20"/>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9" w:name="page40"/>
    <w:bookmarkEnd w:id="39"/>
    <w:p>
      <w:pPr>
        <w:jc w:val="both"/>
        <w:ind w:firstLine="864"/>
        <w:spacing w:after="0" w:line="234" w:lineRule="auto"/>
        <w:rPr>
          <w:sz w:val="20"/>
          <w:szCs w:val="20"/>
          <w:color w:val="auto"/>
        </w:rPr>
      </w:pPr>
      <w:r>
        <w:rPr>
          <w:rFonts w:ascii="Arial" w:cs="Arial" w:eastAsia="Arial" w:hAnsi="Arial"/>
          <w:sz w:val="20"/>
          <w:szCs w:val="20"/>
          <w:color w:val="auto"/>
        </w:rPr>
        <w:t>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94"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Very truly yours,</w:t>
      </w:r>
    </w:p>
    <w:p>
      <w:pPr>
        <w:spacing w:after="0" w:line="22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Athira Pharma, Inc.</w:t>
      </w:r>
    </w:p>
    <w:p>
      <w:pPr>
        <w:spacing w:after="0" w:line="23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9"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Name:</w:t>
      </w:r>
    </w:p>
    <w:p>
      <w:pPr>
        <w:jc w:val="center"/>
        <w:ind w:right="560"/>
        <w:spacing w:after="0"/>
        <w:rPr>
          <w:sz w:val="20"/>
          <w:szCs w:val="20"/>
          <w:color w:val="auto"/>
        </w:rPr>
      </w:pPr>
      <w:r>
        <w:rPr>
          <w:rFonts w:ascii="Arial" w:cs="Arial" w:eastAsia="Arial" w:hAnsi="Arial"/>
          <w:sz w:val="20"/>
          <w:szCs w:val="20"/>
          <w:color w:val="auto"/>
        </w:rPr>
        <w:t>Title: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Goldman Sachs &amp; Co. LLC</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18415</wp:posOffset>
            </wp:positionV>
            <wp:extent cx="32829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Jefferies LLC</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18415</wp:posOffset>
            </wp:positionV>
            <wp:extent cx="32829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On behalf of each of the Underwriters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81"/>
        </w:trPr>
        <w:tc>
          <w:tcPr>
            <w:tcW w:w="4480" w:type="dxa"/>
            <w:vAlign w:val="bottom"/>
          </w:tcPr>
          <w:p>
            <w:pPr>
              <w:spacing w:after="0"/>
              <w:rPr>
                <w:sz w:val="24"/>
                <w:szCs w:val="24"/>
                <w:color w:val="auto"/>
              </w:rPr>
            </w:pPr>
          </w:p>
        </w:tc>
        <w:tc>
          <w:tcPr>
            <w:tcW w:w="4620" w:type="dxa"/>
            <w:vAlign w:val="bottom"/>
            <w:gridSpan w:val="4"/>
          </w:tcPr>
          <w:p>
            <w:pPr>
              <w:ind w:left="540"/>
              <w:spacing w:after="0"/>
              <w:rPr>
                <w:sz w:val="20"/>
                <w:szCs w:val="20"/>
                <w:color w:val="auto"/>
              </w:rPr>
            </w:pPr>
            <w:r>
              <w:rPr>
                <w:rFonts w:ascii="Arial" w:cs="Arial" w:eastAsia="Arial" w:hAnsi="Arial"/>
                <w:sz w:val="20"/>
                <w:szCs w:val="20"/>
                <w:b w:val="1"/>
                <w:bCs w:val="1"/>
                <w:color w:val="auto"/>
              </w:rPr>
              <w:t>SCHEDULE I</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97"/>
              </w:rPr>
              <w:t>Number of</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Optional Shares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w w:val="97"/>
              </w:rPr>
              <w:t>Total Number of</w:t>
            </w:r>
          </w:p>
        </w:tc>
        <w:tc>
          <w:tcPr>
            <w:tcW w:w="21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to be Purchased</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1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if Maximum</w:t>
            </w:r>
          </w:p>
        </w:tc>
        <w:tc>
          <w:tcPr>
            <w:tcW w:w="0" w:type="dxa"/>
            <w:vAlign w:val="bottom"/>
          </w:tcPr>
          <w:p>
            <w:pPr>
              <w:spacing w:after="0"/>
              <w:rPr>
                <w:sz w:val="1"/>
                <w:szCs w:val="1"/>
                <w:color w:val="auto"/>
              </w:rPr>
            </w:pPr>
          </w:p>
        </w:tc>
      </w:tr>
      <w:tr>
        <w:trPr>
          <w:trHeight w:val="216"/>
        </w:trPr>
        <w:tc>
          <w:tcPr>
            <w:tcW w:w="4480" w:type="dxa"/>
            <w:vAlign w:val="bottom"/>
            <w:vMerge w:val="restart"/>
          </w:tcPr>
          <w:p>
            <w:pPr>
              <w:ind w:left="2820"/>
              <w:spacing w:after="0"/>
              <w:rPr>
                <w:sz w:val="20"/>
                <w:szCs w:val="20"/>
                <w:color w:val="auto"/>
              </w:rPr>
            </w:pPr>
            <w:r>
              <w:rPr>
                <w:rFonts w:ascii="Arial" w:cs="Arial" w:eastAsia="Arial" w:hAnsi="Arial"/>
                <w:sz w:val="20"/>
                <w:szCs w:val="20"/>
                <w:b w:val="1"/>
                <w:bCs w:val="1"/>
                <w:color w:val="auto"/>
              </w:rPr>
              <w:t>Underwriter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00"/>
              <w:spacing w:after="0" w:line="216" w:lineRule="exact"/>
              <w:rPr>
                <w:sz w:val="20"/>
                <w:szCs w:val="20"/>
                <w:color w:val="auto"/>
              </w:rPr>
            </w:pPr>
            <w:r>
              <w:rPr>
                <w:rFonts w:ascii="Arial" w:cs="Arial" w:eastAsia="Arial" w:hAnsi="Arial"/>
                <w:sz w:val="20"/>
                <w:szCs w:val="20"/>
                <w:b w:val="1"/>
                <w:bCs w:val="1"/>
                <w:color w:val="auto"/>
                <w:w w:val="98"/>
              </w:rPr>
              <w:t>Firm Shares to</w:t>
            </w:r>
          </w:p>
        </w:tc>
        <w:tc>
          <w:tcPr>
            <w:tcW w:w="21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Option</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auto"/>
            </w:tcBorders>
            <w:vMerge w:val="continue"/>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be Purchased</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Exercised</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Jefferies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Stifel, Nicolaus &amp; Company, Incorporated</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-135255</wp:posOffset>
            </wp:positionV>
            <wp:extent cx="27774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27305</wp:posOffset>
            </wp:positionV>
            <wp:extent cx="277749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777490" cy="254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jc w:val="center"/>
        <w:ind w:right="-248"/>
        <w:spacing w:after="0"/>
        <w:rPr>
          <w:sz w:val="20"/>
          <w:szCs w:val="20"/>
          <w:color w:val="auto"/>
        </w:rPr>
      </w:pPr>
      <w:r>
        <w:rPr>
          <w:rFonts w:ascii="Arial" w:cs="Arial" w:eastAsia="Arial" w:hAnsi="Arial"/>
          <w:sz w:val="20"/>
          <w:szCs w:val="20"/>
          <w:b w:val="1"/>
          <w:bCs w:val="1"/>
          <w:color w:val="auto"/>
        </w:rPr>
        <w:t>SCHEDULE II</w:t>
      </w:r>
    </w:p>
    <w:p>
      <w:pPr>
        <w:spacing w:after="0" w:line="204" w:lineRule="exact"/>
        <w:rPr>
          <w:sz w:val="20"/>
          <w:szCs w:val="20"/>
          <w:color w:val="auto"/>
        </w:rPr>
      </w:pPr>
    </w:p>
    <w:p>
      <w:pPr>
        <w:ind w:left="8" w:right="1279" w:hanging="8"/>
        <w:spacing w:after="0" w:line="450" w:lineRule="auto"/>
        <w:tabs>
          <w:tab w:leader="none" w:pos="898" w:val="left"/>
        </w:tabs>
        <w:numPr>
          <w:ilvl w:val="0"/>
          <w:numId w:val="49"/>
        </w:numPr>
        <w:rPr>
          <w:rFonts w:ascii="Arial" w:cs="Arial" w:eastAsia="Arial" w:hAnsi="Arial"/>
          <w:sz w:val="20"/>
          <w:szCs w:val="20"/>
          <w:color w:val="auto"/>
        </w:rPr>
      </w:pPr>
      <w:r>
        <w:rPr>
          <w:rFonts w:ascii="Arial" w:cs="Arial" w:eastAsia="Arial" w:hAnsi="Arial"/>
          <w:sz w:val="20"/>
          <w:szCs w:val="20"/>
          <w:color w:val="auto"/>
        </w:rPr>
        <w:t>Issuer Free Writing Prospectuses not included in the Pricing Disclosure Package: [Electronic roadshow dated [●]]</w:t>
      </w:r>
    </w:p>
    <w:p>
      <w:pPr>
        <w:spacing w:after="0" w:line="1" w:lineRule="exact"/>
        <w:rPr>
          <w:rFonts w:ascii="Arial" w:cs="Arial" w:eastAsia="Arial" w:hAnsi="Arial"/>
          <w:sz w:val="20"/>
          <w:szCs w:val="20"/>
          <w:color w:val="auto"/>
        </w:rPr>
      </w:pPr>
    </w:p>
    <w:p>
      <w:pPr>
        <w:ind w:left="888" w:hanging="888"/>
        <w:spacing w:after="0"/>
        <w:tabs>
          <w:tab w:leader="none" w:pos="888" w:val="left"/>
        </w:tabs>
        <w:numPr>
          <w:ilvl w:val="0"/>
          <w:numId w:val="49"/>
        </w:numPr>
        <w:rPr>
          <w:rFonts w:ascii="Arial" w:cs="Arial" w:eastAsia="Arial" w:hAnsi="Arial"/>
          <w:sz w:val="20"/>
          <w:szCs w:val="20"/>
          <w:color w:val="auto"/>
        </w:rPr>
      </w:pPr>
      <w:r>
        <w:rPr>
          <w:rFonts w:ascii="Arial" w:cs="Arial" w:eastAsia="Arial" w:hAnsi="Arial"/>
          <w:sz w:val="20"/>
          <w:szCs w:val="20"/>
          <w:color w:val="auto"/>
        </w:rPr>
        <w:t>Additional Documents Incorporated by Reference:</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20"/>
          <w:szCs w:val="20"/>
          <w:color w:val="auto"/>
        </w:rPr>
        <w:t>[None]</w:t>
      </w:r>
    </w:p>
    <w:p>
      <w:pPr>
        <w:spacing w:after="0" w:line="202" w:lineRule="exact"/>
        <w:rPr>
          <w:sz w:val="20"/>
          <w:szCs w:val="20"/>
          <w:color w:val="auto"/>
        </w:rPr>
      </w:pPr>
    </w:p>
    <w:p>
      <w:pPr>
        <w:ind w:left="888" w:hanging="888"/>
        <w:spacing w:after="0"/>
        <w:tabs>
          <w:tab w:leader="none" w:pos="888"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Information other than the Pricing Prospectus that comprise the Pricing Disclosure Package:</w:t>
      </w:r>
    </w:p>
    <w:p>
      <w:pPr>
        <w:spacing w:after="0" w:line="214" w:lineRule="exact"/>
        <w:rPr>
          <w:sz w:val="20"/>
          <w:szCs w:val="20"/>
          <w:color w:val="auto"/>
        </w:rPr>
      </w:pPr>
    </w:p>
    <w:p>
      <w:pPr>
        <w:ind w:left="8" w:right="3879"/>
        <w:spacing w:after="0" w:line="292" w:lineRule="auto"/>
        <w:rPr>
          <w:sz w:val="20"/>
          <w:szCs w:val="20"/>
          <w:color w:val="auto"/>
        </w:rPr>
      </w:pPr>
      <w:r>
        <w:rPr>
          <w:rFonts w:ascii="Arial" w:cs="Arial" w:eastAsia="Arial" w:hAnsi="Arial"/>
          <w:sz w:val="19"/>
          <w:szCs w:val="19"/>
          <w:color w:val="auto"/>
        </w:rPr>
        <w:t>The initial public offering price per share for the Shares is $[●] The number of Shares purchased by the Underwriters is [●].</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20"/>
          <w:szCs w:val="20"/>
          <w:color w:val="auto"/>
        </w:rPr>
        <w:t>[Add any other pricing disclosure.]</w:t>
      </w:r>
    </w:p>
    <w:p>
      <w:pPr>
        <w:spacing w:after="0" w:line="202" w:lineRule="exact"/>
        <w:rPr>
          <w:sz w:val="20"/>
          <w:szCs w:val="20"/>
          <w:color w:val="auto"/>
        </w:rPr>
      </w:pPr>
    </w:p>
    <w:p>
      <w:pPr>
        <w:ind w:left="888" w:hanging="888"/>
        <w:spacing w:after="0"/>
        <w:tabs>
          <w:tab w:leader="none" w:pos="888" w:val="left"/>
        </w:tabs>
        <w:numPr>
          <w:ilvl w:val="0"/>
          <w:numId w:val="51"/>
        </w:numPr>
        <w:rPr>
          <w:rFonts w:ascii="Arial" w:cs="Arial" w:eastAsia="Arial" w:hAnsi="Arial"/>
          <w:sz w:val="20"/>
          <w:szCs w:val="20"/>
          <w:color w:val="auto"/>
        </w:rPr>
      </w:pPr>
      <w:r>
        <w:rPr>
          <w:rFonts w:ascii="Arial" w:cs="Arial" w:eastAsia="Arial" w:hAnsi="Arial"/>
          <w:sz w:val="20"/>
          <w:szCs w:val="20"/>
          <w:color w:val="auto"/>
        </w:rPr>
        <w:t>Written Testing-the-Waters Communications:</w:t>
      </w:r>
    </w:p>
    <w:p>
      <w:pPr>
        <w:spacing w:after="0" w:line="202" w:lineRule="exact"/>
        <w:rPr>
          <w:rFonts w:ascii="Arial" w:cs="Arial" w:eastAsia="Arial" w:hAnsi="Arial"/>
          <w:sz w:val="20"/>
          <w:szCs w:val="20"/>
          <w:color w:val="auto"/>
        </w:rPr>
      </w:pPr>
    </w:p>
    <w:p>
      <w:pPr>
        <w:ind w:left="8"/>
        <w:spacing w:after="0"/>
        <w:rPr>
          <w:rFonts w:ascii="Arial" w:cs="Arial" w:eastAsia="Arial" w:hAnsi="Arial"/>
          <w:sz w:val="20"/>
          <w:szCs w:val="20"/>
          <w:color w:val="auto"/>
        </w:rPr>
      </w:pPr>
      <w:r>
        <w:rPr>
          <w:rFonts w:ascii="Arial" w:cs="Arial" w:eastAsia="Arial" w:hAnsi="Arial"/>
          <w:sz w:val="20"/>
          <w:szCs w:val="20"/>
          <w:color w:val="auto"/>
        </w:rPr>
        <w:t>[●]</w:t>
      </w:r>
    </w:p>
    <w:p>
      <w:pPr>
        <w:spacing w:after="0" w:line="209" w:lineRule="exact"/>
        <w:rPr>
          <w:sz w:val="20"/>
          <w:szCs w:val="20"/>
          <w:color w:val="auto"/>
        </w:rPr>
      </w:pPr>
    </w:p>
    <w:p>
      <w:pPr>
        <w:jc w:val="center"/>
        <w:ind w:right="-24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80010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68"/>
          </w:cols>
          <w:pgMar w:left="1192" w:top="351"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ANNEX 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Press Release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Athira Pharma, Inc.</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Athira Pharma, Inc. (the “Company”) announced today that Goldman Sachs &amp; Co. LLC and Jefferies LLC, the lead 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62" w:lineRule="exact"/>
        <w:rPr>
          <w:sz w:val="20"/>
          <w:szCs w:val="20"/>
          <w:color w:val="auto"/>
        </w:rPr>
      </w:pPr>
    </w:p>
    <w:p>
      <w:pPr>
        <w:ind w:right="220"/>
        <w:spacing w:after="0" w:line="252" w:lineRule="auto"/>
        <w:rPr>
          <w:sz w:val="20"/>
          <w:szCs w:val="20"/>
          <w:color w:val="auto"/>
        </w:rPr>
      </w:pPr>
      <w:r>
        <w:rPr>
          <w:rFonts w:ascii="Arial" w:cs="Arial" w:eastAsia="Arial" w:hAnsi="Arial"/>
          <w:sz w:val="20"/>
          <w:szCs w:val="20"/>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ind w:left="10360"/>
        <w:spacing w:after="0"/>
        <w:rPr>
          <w:sz w:val="20"/>
          <w:szCs w:val="20"/>
          <w:color w:val="auto"/>
        </w:rPr>
      </w:pPr>
      <w:r>
        <w:rPr>
          <w:rFonts w:ascii="Arial" w:cs="Arial" w:eastAsia="Arial" w:hAnsi="Arial"/>
          <w:sz w:val="19"/>
          <w:szCs w:val="19"/>
          <w:b w:val="1"/>
          <w:bCs w:val="1"/>
          <w:color w:val="auto"/>
        </w:rPr>
        <w:t>ANNEX 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Lock-Up Agreement</w:t>
      </w:r>
    </w:p>
    <w:p>
      <w:pPr>
        <w:spacing w:after="0" w:line="204" w:lineRule="exact"/>
        <w:rPr>
          <w:sz w:val="20"/>
          <w:szCs w:val="20"/>
          <w:color w:val="auto"/>
        </w:rPr>
      </w:pPr>
    </w:p>
    <w:p>
      <w:pPr>
        <w:ind w:left="10700"/>
        <w:spacing w:after="0"/>
        <w:rPr>
          <w:sz w:val="20"/>
          <w:szCs w:val="20"/>
          <w:color w:val="auto"/>
        </w:rPr>
      </w:pPr>
      <w:r>
        <w:rPr>
          <w:rFonts w:ascii="Arial" w:cs="Arial" w:eastAsia="Arial" w:hAnsi="Arial"/>
          <w:sz w:val="19"/>
          <w:szCs w:val="19"/>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0</wp:posOffset>
            </wp:positionV>
            <wp:extent cx="9074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 and</w:t>
      </w:r>
    </w:p>
    <w:p>
      <w:pPr>
        <w:spacing w:after="0" w:line="237" w:lineRule="auto"/>
        <w:rPr>
          <w:sz w:val="20"/>
          <w:szCs w:val="20"/>
          <w:color w:val="auto"/>
        </w:rPr>
      </w:pPr>
      <w:r>
        <w:rPr>
          <w:rFonts w:ascii="Arial" w:cs="Arial" w:eastAsia="Arial" w:hAnsi="Arial"/>
          <w:sz w:val="20"/>
          <w:szCs w:val="20"/>
          <w:color w:val="auto"/>
        </w:rPr>
        <w:t>Jefferies LLC</w:t>
      </w:r>
    </w:p>
    <w:p>
      <w:pPr>
        <w:ind w:left="220"/>
        <w:spacing w:after="0" w:line="226" w:lineRule="auto"/>
        <w:rPr>
          <w:sz w:val="20"/>
          <w:szCs w:val="20"/>
          <w:color w:val="auto"/>
        </w:rPr>
      </w:pPr>
      <w:r>
        <w:rPr>
          <w:rFonts w:ascii="Arial" w:cs="Arial" w:eastAsia="Arial" w:hAnsi="Arial"/>
          <w:sz w:val="20"/>
          <w:szCs w:val="20"/>
          <w:color w:val="auto"/>
        </w:rPr>
        <w:t>As representatives of the several Underwriters</w:t>
      </w:r>
    </w:p>
    <w:p>
      <w:pPr>
        <w:ind w:left="440"/>
        <w:spacing w:after="0"/>
        <w:rPr>
          <w:sz w:val="20"/>
          <w:szCs w:val="20"/>
          <w:color w:val="auto"/>
        </w:rPr>
      </w:pPr>
      <w:r>
        <w:rPr>
          <w:rFonts w:ascii="Arial" w:cs="Arial" w:eastAsia="Arial" w:hAnsi="Arial"/>
          <w:sz w:val="20"/>
          <w:szCs w:val="20"/>
          <w:color w:val="auto"/>
        </w:rPr>
        <w:t>named in Schedule I hereto,</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c/o Goldman Sachs &amp; Co. LLC</w:t>
      </w:r>
    </w:p>
    <w:p>
      <w:pPr>
        <w:spacing w:after="0" w:line="237" w:lineRule="auto"/>
        <w:rPr>
          <w:sz w:val="20"/>
          <w:szCs w:val="20"/>
          <w:color w:val="auto"/>
        </w:rPr>
      </w:pPr>
      <w:r>
        <w:rPr>
          <w:rFonts w:ascii="Arial" w:cs="Arial" w:eastAsia="Arial" w:hAnsi="Arial"/>
          <w:sz w:val="20"/>
          <w:szCs w:val="20"/>
          <w:color w:val="auto"/>
        </w:rPr>
        <w:t>200 West Street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 10282-2198</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c/o Jefferies LLC</w:t>
      </w:r>
    </w:p>
    <w:p>
      <w:pPr>
        <w:spacing w:after="0" w:line="237" w:lineRule="auto"/>
        <w:rPr>
          <w:sz w:val="20"/>
          <w:szCs w:val="20"/>
          <w:color w:val="auto"/>
        </w:rPr>
      </w:pPr>
      <w:r>
        <w:rPr>
          <w:rFonts w:ascii="Arial" w:cs="Arial" w:eastAsia="Arial" w:hAnsi="Arial"/>
          <w:sz w:val="20"/>
          <w:szCs w:val="20"/>
          <w:color w:val="auto"/>
        </w:rPr>
        <w:t>520 Madison Avenue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 10022</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Athira Pharma, Inc. - Lock-Up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19"/>
          <w:szCs w:val="19"/>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Athira Pharma, Inc., a Delaware corporation (the “Company”), providing for a public offering (the “Public Offering”) of shares (the “Offered Shares”) of common stock of the Company, par value $0.001 per share (the “Common Stock”), pursuant to a Registration Statement on Form S-1 to be filed with the Securities and Exchange Commission.</w:t>
      </w:r>
    </w:p>
    <w:p>
      <w:pPr>
        <w:spacing w:after="0" w:line="153"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20"/>
          <w:szCs w:val="20"/>
          <w:color w:val="auto"/>
        </w:rPr>
        <w:t>In consideration of the agreement by the Underwriters to offer and sell the Offered Shares, and of other good and valuable consideration the receipt and sufficiency of which is hereby acknowledged, the undersigned agrees that, during the period beginning from the date of this agreement (this “Lock-Up Agreement”) and continuing to and including the date 180 days after the date set forth on the final prospectus used to sell the Offered Shares (the “Lock-Up Period”), the undersigned shall not, and shall not cause or direct any of its affiliates to, (i) offer, sell, contract to sell, pledge, grant any option to purchase, lend or otherwise dispose of any shares of Common Stock of the Company, or any options or warrants to purchase any shares of Common Stock of the Company, or any securities convertible into, exchangeable for or that represent the right to receive shares of Common Stock of the Company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of Common Stock of the Company or Derivative Instruments, whether any such transaction or arrangement (or instrument provided for thereunder) would be settled by delivery of Common Stock or other securities, in cash or otherwise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jc w:val="both"/>
        <w:spacing w:after="0" w:line="233" w:lineRule="auto"/>
        <w:rPr>
          <w:sz w:val="20"/>
          <w:szCs w:val="20"/>
          <w:color w:val="auto"/>
        </w:rPr>
      </w:pPr>
      <w:r>
        <w:rPr>
          <w:rFonts w:ascii="Arial" w:cs="Arial" w:eastAsia="Arial" w:hAnsi="Arial"/>
          <w:sz w:val="20"/>
          <w:szCs w:val="20"/>
          <w:color w:val="auto"/>
        </w:rPr>
        <w:t>(any such sale, loan, pledge or other disposition, or transfer of economic consequences, a “Transfer”), (iii) make any demand for or exercise any right with respect to the registration of any shares of Common Stock or Derivative Instruments or (iv) otherwise publicly announce any intention to engage in any of the foregoing.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For the avoidance of doubt, the undersigned agrees that the foregoing provisions shall be equally applicable to any issuer-directed or other shares of Common Stock the undersigned may purchase in the offering.</w:t>
      </w:r>
    </w:p>
    <w:p>
      <w:pPr>
        <w:spacing w:after="0" w:line="16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0"/>
          <w:szCs w:val="20"/>
          <w:color w:val="auto"/>
        </w:rPr>
        <w:t>If the undersigned is not a natural person, the undersigned represents and warrants that no single natural person, entity or “group” (within the meaning of Section 13(d)(3) of the Securities Exchange Act of 1934, as amended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65"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20"/>
          <w:szCs w:val="20"/>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Notwithstanding the foregoing, the undersigned may (a) transfer any of the undersigned’s shares of Common Stock:</w:t>
      </w:r>
    </w:p>
    <w:p>
      <w:pPr>
        <w:spacing w:after="0" w:line="216" w:lineRule="exact"/>
        <w:rPr>
          <w:sz w:val="20"/>
          <w:szCs w:val="20"/>
          <w:color w:val="auto"/>
        </w:rPr>
      </w:pPr>
    </w:p>
    <w:p>
      <w:pPr>
        <w:ind w:left="860" w:hanging="852"/>
        <w:spacing w:after="0"/>
        <w:tabs>
          <w:tab w:leader="none" w:pos="8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acquired in open market transactions after the completion of the Public Offering;</w:t>
      </w:r>
    </w:p>
    <w:p>
      <w:pPr>
        <w:spacing w:after="0" w:line="229" w:lineRule="exact"/>
        <w:rPr>
          <w:rFonts w:ascii="Arial" w:cs="Arial" w:eastAsia="Arial" w:hAnsi="Arial"/>
          <w:sz w:val="20"/>
          <w:szCs w:val="20"/>
          <w:color w:val="auto"/>
        </w:rPr>
      </w:pPr>
    </w:p>
    <w:p>
      <w:pPr>
        <w:ind w:left="860" w:hanging="852"/>
        <w:spacing w:after="0"/>
        <w:tabs>
          <w:tab w:leader="none" w:pos="8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as a bona fide gift or charitable contribution;</w:t>
      </w:r>
    </w:p>
    <w:p>
      <w:pPr>
        <w:spacing w:after="0" w:line="229" w:lineRule="exact"/>
        <w:rPr>
          <w:rFonts w:ascii="Arial" w:cs="Arial" w:eastAsia="Arial" w:hAnsi="Arial"/>
          <w:sz w:val="20"/>
          <w:szCs w:val="20"/>
          <w:color w:val="auto"/>
        </w:rPr>
      </w:pPr>
    </w:p>
    <w:p>
      <w:pPr>
        <w:ind w:left="860" w:right="120" w:hanging="852"/>
        <w:spacing w:after="0" w:line="266" w:lineRule="auto"/>
        <w:tabs>
          <w:tab w:leader="none" w:pos="8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to an immediate family member or a trust for the direct or indirect benefit of the undersigned or such immediate family member of the undersigned;</w:t>
      </w:r>
    </w:p>
    <w:p>
      <w:pPr>
        <w:spacing w:after="0" w:line="165" w:lineRule="exact"/>
        <w:rPr>
          <w:rFonts w:ascii="Arial" w:cs="Arial" w:eastAsia="Arial" w:hAnsi="Arial"/>
          <w:sz w:val="20"/>
          <w:szCs w:val="20"/>
          <w:color w:val="auto"/>
        </w:rPr>
      </w:pPr>
    </w:p>
    <w:p>
      <w:pPr>
        <w:ind w:left="860" w:right="180" w:hanging="852"/>
        <w:spacing w:after="0" w:line="245" w:lineRule="auto"/>
        <w:tabs>
          <w:tab w:leader="none" w:pos="8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by will or intestacy;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public filing, report or announcement shall be voluntarily made and, if required, any public report or filing under Section 16 of the Exchange Act, shall clearly indicate in the footnotes thereto that the filing relates to the transfer of shares by will or intestacy;</w:t>
      </w:r>
    </w:p>
    <w:p>
      <w:pPr>
        <w:spacing w:after="0" w:line="186" w:lineRule="exact"/>
        <w:rPr>
          <w:rFonts w:ascii="Arial" w:cs="Arial" w:eastAsia="Arial" w:hAnsi="Arial"/>
          <w:sz w:val="20"/>
          <w:szCs w:val="20"/>
          <w:color w:val="auto"/>
        </w:rPr>
      </w:pPr>
    </w:p>
    <w:p>
      <w:pPr>
        <w:jc w:val="both"/>
        <w:ind w:left="860" w:hanging="852"/>
        <w:spacing w:after="0" w:line="239" w:lineRule="auto"/>
        <w:tabs>
          <w:tab w:leader="none" w:pos="8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pursuant to a domestic relations order, divorce decree or court order;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public filing, report or announcement shall be voluntarily made and, if required, any public report or filing under Section 16 of the Exchange Act shall clearly indicate in the footnotes thereto that the filing relates to the transfer of shares pursuant to a domestic relations order, divorce decree or court order;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45" w:name="page46"/>
    <w:bookmarkEnd w:id="45"/>
    <w:p>
      <w:pPr>
        <w:jc w:val="both"/>
        <w:ind w:left="860" w:hanging="852"/>
        <w:spacing w:after="0" w:line="233" w:lineRule="auto"/>
        <w:tabs>
          <w:tab w:leader="none" w:pos="8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spacing w:after="0" w:line="192" w:lineRule="exact"/>
        <w:rPr>
          <w:rFonts w:ascii="Arial" w:cs="Arial" w:eastAsia="Arial" w:hAnsi="Arial"/>
          <w:sz w:val="20"/>
          <w:szCs w:val="20"/>
          <w:color w:val="auto"/>
        </w:rPr>
      </w:pPr>
    </w:p>
    <w:p>
      <w:pPr>
        <w:ind w:left="860" w:hanging="852"/>
        <w:spacing w:after="0"/>
        <w:tabs>
          <w:tab w:leader="none" w:pos="8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the undersigned is a trust, to a trustor or beneficiary of the trust or to the estate of a beneficiary of such trust;</w:t>
      </w:r>
    </w:p>
    <w:p>
      <w:pPr>
        <w:spacing w:after="0" w:line="229" w:lineRule="exact"/>
        <w:rPr>
          <w:rFonts w:ascii="Arial" w:cs="Arial" w:eastAsia="Arial" w:hAnsi="Arial"/>
          <w:sz w:val="20"/>
          <w:szCs w:val="20"/>
          <w:color w:val="auto"/>
        </w:rPr>
      </w:pPr>
    </w:p>
    <w:p>
      <w:pPr>
        <w:jc w:val="both"/>
        <w:ind w:left="860" w:hanging="852"/>
        <w:spacing w:after="0" w:line="234" w:lineRule="auto"/>
        <w:tabs>
          <w:tab w:leader="none" w:pos="8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to the Company in connection with the repurchase of the undersigned’s shares in connection with the termination of the undersigned’s employment with the Company pursuant to contractual agreements with the Company;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public filing, report or announcement shall be voluntarily made and, if required, any public report or filing under Section 16 of the Exchange Act shall clearly indicate in the footnotes thereto that the filing relates to the transfer of shares from the repurchase of the undersigned’s shares in connection with the termination of the undersigned’s employment with the Company pursuant to contractual agreements with the Company;</w:t>
      </w:r>
    </w:p>
    <w:p>
      <w:pPr>
        <w:spacing w:after="0" w:line="193" w:lineRule="exact"/>
        <w:rPr>
          <w:rFonts w:ascii="Arial" w:cs="Arial" w:eastAsia="Arial" w:hAnsi="Arial"/>
          <w:sz w:val="20"/>
          <w:szCs w:val="20"/>
          <w:color w:val="auto"/>
        </w:rPr>
      </w:pPr>
    </w:p>
    <w:p>
      <w:pPr>
        <w:jc w:val="both"/>
        <w:ind w:left="860" w:hanging="852"/>
        <w:spacing w:after="0" w:line="228" w:lineRule="auto"/>
        <w:tabs>
          <w:tab w:leader="none" w:pos="8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through the disposition or forfeiture of the undersigned’s shares to the Company to satisfy any income, employment or tax withholding and remittance obligations of the undersigned or the employer of the undersigned in connection with the vesting of restricted stock, restricted stock units or other incentive awards settled in shares of Common Stock held by the undersigned;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restricted stock, restricted stock units or other incentive awards were granted under a stock incentive plan, stock purchase plan or pursuant to a contractual employment arrangement described in the prospectus related to the Public Offering and were outstanding as of the date of the prospectus;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no filing under the Exchange Act or other public filing, report or announcement reporting a change in beneficial ownership of shares of Common Stock shall be required or shall be voluntarily made during the Lock-Up Period within 60 days after the date the undersigned ceases to provide services to the Company, and after such 60th day, if the undersigned is required to file a report under Section 16(a) of the Exchange Act reporting a change in beneficial ownership of shares of Common Stock during the Lock-Up Period, the undersigned shall clearly indicate in the footnotes thereto that the filing relates to the transfer of shares through the disposition or forfeiture of the undersigned’s shares to the Company to satisfy any income, employment or tax withholding and remittance obligations of the undersigned or the employer of the undersigned in connection with the vesting of restricted stock, restricted stock units or other incentive awards settled in shares held by the undersigned;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any underlying Common Stock or Derivative Instruments shall continue to be subject to the restrictions on transfer set forth in this Lock-Up Agreement;</w:t>
      </w:r>
    </w:p>
    <w:p>
      <w:pPr>
        <w:spacing w:after="0" w:line="200" w:lineRule="exact"/>
        <w:rPr>
          <w:rFonts w:ascii="Arial" w:cs="Arial" w:eastAsia="Arial" w:hAnsi="Arial"/>
          <w:sz w:val="20"/>
          <w:szCs w:val="20"/>
          <w:color w:val="auto"/>
        </w:rPr>
      </w:pPr>
    </w:p>
    <w:p>
      <w:pPr>
        <w:jc w:val="both"/>
        <w:ind w:left="860" w:hanging="852"/>
        <w:spacing w:after="0" w:line="239" w:lineRule="auto"/>
        <w:tabs>
          <w:tab w:leader="none" w:pos="8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to the Company through the exercise of a stock option granted under a stock incentive plan or stock purchase plan or a warrant described in the prospectus relating to the Public Offering by the undersigned, and the receipt by the undersigned from the Company of shares of Common Stock upon any such exercise, insofar as such option or warrant 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6" w:right="339" w:bottom="1440" w:gutter="0" w:footer="0" w:header="0"/>
        </w:sectPr>
      </w:pPr>
    </w:p>
    <w:bookmarkStart w:id="46" w:name="page47"/>
    <w:bookmarkEnd w:id="46"/>
    <w:p>
      <w:pPr>
        <w:jc w:val="both"/>
        <w:ind w:left="860"/>
        <w:spacing w:after="0" w:line="233" w:lineRule="auto"/>
        <w:rPr>
          <w:sz w:val="20"/>
          <w:szCs w:val="20"/>
          <w:color w:val="auto"/>
        </w:rPr>
      </w:pPr>
      <w:r>
        <w:rPr>
          <w:rFonts w:ascii="Arial" w:cs="Arial" w:eastAsia="Arial" w:hAnsi="Arial"/>
          <w:sz w:val="20"/>
          <w:szCs w:val="20"/>
          <w:color w:val="auto"/>
        </w:rPr>
        <w:t xml:space="preserve">outstanding as of the date of the final prospectus relating to the Public Offering and the exercise period for such option or warrant expires during the Lock-Up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underlying shares shall continue to be subject to the restrictions on transfer set forth in this Lock-Up Agreement;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no public filing, report or announcement shall be voluntarily made and, if required, any public report or filing under Section 16 of the Exchange Act shall clearly indicate in the footnotes thereto that the filing relates to the exercise of a stock option or warrant, that no shares were sold by the reporting person and that the shares received upon exercise of the stock option or warrant are subject to a lock-up agreement with the Underwriters;</w:t>
      </w:r>
    </w:p>
    <w:p>
      <w:pPr>
        <w:spacing w:after="0" w:line="192" w:lineRule="exact"/>
        <w:rPr>
          <w:sz w:val="20"/>
          <w:szCs w:val="20"/>
          <w:color w:val="auto"/>
        </w:rPr>
      </w:pPr>
    </w:p>
    <w:p>
      <w:pPr>
        <w:jc w:val="both"/>
        <w:ind w:left="860" w:hanging="852"/>
        <w:spacing w:after="0" w:line="236" w:lineRule="auto"/>
        <w:tabs>
          <w:tab w:leader="none" w:pos="8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pursuant to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third party tender offer for all outstanding Common Stock of the Company, merger, consolidation or other similar transaction involving a Change of Control of the Company and approved by the Company’s board of directors;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Change of Control transaction is not completed, this clause (a)(xi) shall not be applicable and the undersigned’s shares shall remain subject to the restrictions contained in this Lock-Up Agreement; or</w:t>
      </w:r>
    </w:p>
    <w:p>
      <w:pPr>
        <w:spacing w:after="0" w:line="192" w:lineRule="exact"/>
        <w:rPr>
          <w:rFonts w:ascii="Arial" w:cs="Arial" w:eastAsia="Arial" w:hAnsi="Arial"/>
          <w:sz w:val="20"/>
          <w:szCs w:val="20"/>
          <w:color w:val="auto"/>
        </w:rPr>
      </w:pPr>
    </w:p>
    <w:p>
      <w:pPr>
        <w:jc w:val="both"/>
        <w:ind w:left="860" w:hanging="852"/>
        <w:spacing w:after="0" w:line="234" w:lineRule="auto"/>
        <w:tabs>
          <w:tab w:leader="none" w:pos="8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with the prior written consent of each of Representatives on behalf of the Underwriters;or (b) establish a trading plan pursuant to Rule 10b5-1 under the Exchange Act for the transfer of the undersigned’s shares of Common Stock;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 such plan does not provide for the transfer of shares during the Lock-Up Period and (ii) no public</w:t>
      </w:r>
      <w:r>
        <w:rPr>
          <w:rFonts w:ascii="Arial" w:cs="Arial" w:eastAsia="Arial" w:hAnsi="Arial"/>
          <w:sz w:val="20"/>
          <w:szCs w:val="20"/>
          <w:i w:val="1"/>
          <w:iCs w:val="1"/>
          <w:color w:val="auto"/>
        </w:rPr>
        <w:t xml:space="preserve"> </w:t>
      </w:r>
      <w:r>
        <w:rPr>
          <w:rFonts w:ascii="Arial" w:cs="Arial" w:eastAsia="Arial" w:hAnsi="Arial"/>
          <w:sz w:val="20"/>
          <w:szCs w:val="20"/>
          <w:color w:val="auto"/>
        </w:rPr>
        <w:t>filing, report or announcement shall be voluntarily made and, if required, such public announcement, report or filing shall include a statement to the effect that no transfer of the undersigned’s shares of Common Stock or Derivative Instruments may be made under such plan during the Lock-Up Period.</w:t>
      </w:r>
    </w:p>
    <w:p>
      <w:pPr>
        <w:spacing w:after="0" w:line="19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9"/>
          <w:szCs w:val="19"/>
          <w:color w:val="auto"/>
        </w:rPr>
        <w:t xml:space="preserve">In addition, provided in the case of clauses (a)(ii), (iii), (iv), (v), (vi) and (vii) above, it shall be a condition to such transfer that each transferee, donee or distributee sign and deliver a lock-up agreement substantially in the form of this Lock-Up Agreement, except in the case of clauses (a)(iv) and (v) where a court of competent jurisdiction requires such transfer or distribution be made without such a restriction;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the case of clauses (a)(i), (ii), (iii), (vi) and (vii) above, no filing under Section 16(a) of the Exchange Act (other than a required Form 5 filing that includes a statement indicating the reason for such transfer and is filed no earlier than 40 days following the Company’s first fiscal year-end following the date of the final prospectus related to the Public Offering) or other public announcement, reporting a reduction in beneficial ownership of the undersigned’s shares of Common Stock, shall be required or shall be voluntarily made during the Lock-Up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further </w:t>
      </w:r>
      <w:r>
        <w:rPr>
          <w:rFonts w:ascii="Arial" w:cs="Arial" w:eastAsia="Arial" w:hAnsi="Arial"/>
          <w:sz w:val="19"/>
          <w:szCs w:val="19"/>
          <w:color w:val="auto"/>
        </w:rPr>
        <w:t>in the case of clauses (a)(ii), (a)(iii), (a)(iv), (a)(vi) and (a)(vii), any such transfer shall not involve a disposition for value.</w:t>
      </w:r>
    </w:p>
    <w:p>
      <w:pPr>
        <w:spacing w:after="0" w:line="188"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19"/>
          <w:szCs w:val="19"/>
          <w:color w:val="auto"/>
        </w:rPr>
        <w:t>For purposes of this Lock-Up Agreement, “immediate family” shall mean any relationship by blood, marriage or adoption, not more remote than first cousin and “Change of Control</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voting power represented by the outstanding securities of the Company (or the surviving entity). For the avoidance of doubt, the Public Offering is not a Change of Control. The undersigned also agrees and consents to the entry of stop transfer instructions with the Company’s transfer agent and registrar against the transfer of the undersigned’s shares of Common Stock of the Company except in compliance with the foregoing restrictions.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7" w:name="page48"/>
    <w:bookmarkEnd w:id="47"/>
    <w:p>
      <w:pPr>
        <w:jc w:val="both"/>
        <w:ind w:firstLine="864"/>
        <w:spacing w:after="0" w:line="245" w:lineRule="auto"/>
        <w:rPr>
          <w:sz w:val="20"/>
          <w:szCs w:val="20"/>
          <w:color w:val="auto"/>
        </w:rPr>
      </w:pPr>
      <w:r>
        <w:rPr>
          <w:rFonts w:ascii="Arial" w:cs="Arial" w:eastAsia="Arial" w:hAnsi="Arial"/>
          <w:sz w:val="20"/>
          <w:szCs w:val="20"/>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60"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0"/>
          <w:szCs w:val="20"/>
          <w:color w:val="auto"/>
        </w:rPr>
        <w:t>Notwithstanding anything to the contrary contained herein, this Lock-Up Agreement will automatically terminate and the undersigned will be released from all of his, her or its obligations hereunder upon the earliest to occur, if any, of (i) prior to the execution of the Underwriting Agreement, the Company advises the Representatives in writing that it has determined not to proceed with the Public Offering, (ii) the Company files an application to withdraw the registration statement related to the Public Offering, (iii) the Underwriting Agreement is executed but is terminated (other than the provisions thereof which survive termination) prior to payment for and delivery of the Offered Shares to be sold thereunder, and (iv) December 31, 2020, if the Underwriting Agreement has not been executed by such date.</w:t>
      </w:r>
    </w:p>
    <w:p>
      <w:pPr>
        <w:spacing w:after="0" w:line="16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9"/>
          <w:szCs w:val="19"/>
          <w:color w:val="auto"/>
        </w:rPr>
        <w:t xml:space="preserve">The undersigned and the Representatives hereby consent to receipt of this Lock-Up Agreement in electronic form and understand and agree that this Lock-Up Agreement may be signed electronically. In the event that any signature is delivered by facsimile transmission, electronic mail, or otherwise by electronic transmission evidencing an intent to sign this Lock-Up Agreement (including any electronic signature complying with the U.S. federal ESIGN Act of 2000, </w:t>
      </w:r>
      <w:r>
        <w:rPr>
          <w:rFonts w:ascii="Arial" w:cs="Arial" w:eastAsia="Arial" w:hAnsi="Arial"/>
          <w:sz w:val="19"/>
          <w:szCs w:val="19"/>
          <w:i w:val="1"/>
          <w:iCs w:val="1"/>
          <w:color w:val="auto"/>
        </w:rPr>
        <w:t>e.g.,</w:t>
      </w:r>
      <w:r>
        <w:rPr>
          <w:rFonts w:ascii="Arial" w:cs="Arial" w:eastAsia="Arial" w:hAnsi="Arial"/>
          <w:sz w:val="19"/>
          <w:szCs w:val="19"/>
          <w:color w:val="auto"/>
        </w:rPr>
        <w:t xml:space="preserve"> www.docusign.com),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6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color w:val="auto"/>
        </w:rPr>
        <w:t>This Lock-Up Agreement and any claim, controversy or dispute arising under or related to this Lock-Up Agreement shall be governed by and construed in accordance with the laws of the State of New York.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Very truly yours,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AN INDIVIDUAL:</w:t>
      </w:r>
    </w:p>
    <w:p>
      <w:pPr>
        <w:spacing w:after="0" w:line="200" w:lineRule="exact"/>
        <w:rPr>
          <w:sz w:val="20"/>
          <w:szCs w:val="20"/>
          <w:color w:val="auto"/>
        </w:rPr>
      </w:pPr>
    </w:p>
    <w:p>
      <w:pPr>
        <w:spacing w:after="0" w:line="278" w:lineRule="exact"/>
        <w:rPr>
          <w:sz w:val="20"/>
          <w:szCs w:val="20"/>
          <w:color w:val="auto"/>
        </w:rPr>
      </w:pPr>
    </w:p>
    <w:p>
      <w:pPr>
        <w:ind w:left="1660"/>
        <w:spacing w:after="0"/>
        <w:rPr>
          <w:sz w:val="20"/>
          <w:szCs w:val="20"/>
          <w:color w:val="auto"/>
        </w:rPr>
      </w:pPr>
      <w:r>
        <w:rPr>
          <w:rFonts w:ascii="Arial" w:cs="Arial" w:eastAsia="Arial" w:hAnsi="Arial"/>
          <w:sz w:val="20"/>
          <w:szCs w:val="20"/>
          <w:i w:val="1"/>
          <w:iCs w:val="1"/>
          <w:color w:val="auto"/>
        </w:rPr>
        <w:t>(duly 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3574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18415</wp:posOffset>
            </wp:positionV>
            <wp:extent cx="30175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9" w:lineRule="exact"/>
        <w:rPr>
          <w:sz w:val="20"/>
          <w:szCs w:val="20"/>
          <w:color w:val="auto"/>
        </w:rPr>
      </w:pPr>
    </w:p>
    <w:p>
      <w:pPr>
        <w:jc w:val="right"/>
        <w:ind w:right="960"/>
        <w:spacing w:after="0"/>
        <w:rPr>
          <w:sz w:val="20"/>
          <w:szCs w:val="20"/>
          <w:color w:val="auto"/>
        </w:rPr>
      </w:pPr>
      <w:r>
        <w:rPr>
          <w:rFonts w:ascii="Arial" w:cs="Arial" w:eastAsia="Arial" w:hAnsi="Arial"/>
          <w:sz w:val="20"/>
          <w:szCs w:val="20"/>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3574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35744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AN ENTITY:</w:t>
      </w:r>
    </w:p>
    <w:p>
      <w:pPr>
        <w:spacing w:after="0" w:line="200" w:lineRule="exact"/>
        <w:rPr>
          <w:sz w:val="20"/>
          <w:szCs w:val="20"/>
          <w:color w:val="auto"/>
        </w:rPr>
      </w:pPr>
    </w:p>
    <w:p>
      <w:pPr>
        <w:spacing w:after="0" w:line="278"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(please print complete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33686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6403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(duly authorized signature)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6403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9" w:lineRule="exact"/>
        <w:rPr>
          <w:sz w:val="20"/>
          <w:szCs w:val="20"/>
          <w:color w:val="auto"/>
        </w:rPr>
      </w:pPr>
    </w:p>
    <w:p>
      <w:pPr>
        <w:ind w:left="2220"/>
        <w:spacing w:after="0"/>
        <w:rPr>
          <w:sz w:val="20"/>
          <w:szCs w:val="20"/>
          <w:color w:val="auto"/>
        </w:rPr>
      </w:pPr>
      <w:r>
        <w:rPr>
          <w:rFonts w:ascii="Arial" w:cs="Arial" w:eastAsia="Arial" w:hAnsi="Arial"/>
          <w:sz w:val="20"/>
          <w:szCs w:val="20"/>
          <w:i w:val="1"/>
          <w:iCs w:val="1"/>
          <w:color w:val="auto"/>
        </w:rPr>
        <w:t>(please print full name)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6403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(please print full title)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464185</wp:posOffset>
            </wp:positionV>
            <wp:extent cx="33686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33686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200" w:lineRule="exact"/>
        <w:rPr>
          <w:sz w:val="20"/>
          <w:szCs w:val="20"/>
          <w:color w:val="auto"/>
        </w:rPr>
      </w:pPr>
    </w:p>
    <w:p>
      <w:pPr>
        <w:sectPr>
          <w:pgSz w:w="11900" w:h="16838" w:orient="portrait"/>
          <w:cols w:equalWidth="0" w:num="2">
            <w:col w:w="5220" w:space="720"/>
            <w:col w:w="4400"/>
          </w:cols>
          <w:pgMar w:left="320" w:top="326"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340"/>
          </w:cols>
          <w:pgMar w:left="320" w:top="326" w:right="123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 Delaware corporation</w:t>
      </w:r>
    </w:p>
    <w:p>
      <w:pPr>
        <w:spacing w:after="0" w:line="216" w:lineRule="exact"/>
        <w:rPr>
          <w:sz w:val="20"/>
          <w:szCs w:val="20"/>
          <w:color w:val="auto"/>
        </w:rPr>
      </w:pPr>
    </w:p>
    <w:p>
      <w:pPr>
        <w:ind w:firstLine="864"/>
        <w:spacing w:after="0" w:line="273" w:lineRule="auto"/>
        <w:rPr>
          <w:sz w:val="20"/>
          <w:szCs w:val="20"/>
          <w:color w:val="auto"/>
        </w:rPr>
      </w:pPr>
      <w:r>
        <w:rPr>
          <w:rFonts w:ascii="Times New Roman" w:cs="Times New Roman" w:eastAsia="Times New Roman" w:hAnsi="Times New Roman"/>
          <w:sz w:val="20"/>
          <w:szCs w:val="20"/>
          <w:color w:val="auto"/>
        </w:rPr>
        <w:t>Athira Pharma, Inc., a corporation organized and existing under the laws of the State of Delaware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does hereby certify as follows:</w:t>
      </w:r>
    </w:p>
    <w:p>
      <w:pPr>
        <w:spacing w:after="0" w:line="156" w:lineRule="exact"/>
        <w:rPr>
          <w:sz w:val="20"/>
          <w:szCs w:val="20"/>
          <w:color w:val="auto"/>
        </w:rPr>
      </w:pPr>
    </w:p>
    <w:p>
      <w:pPr>
        <w:ind w:right="320" w:firstLine="872"/>
        <w:spacing w:after="0" w:line="269" w:lineRule="auto"/>
        <w:tabs>
          <w:tab w:leader="none" w:pos="17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was originally incorporated under the name of M3 Biotechnology, Inc., and the original Certificate of Incorporation of the Company was filed with the Secretary of State of the State of Delaware on October 27, 2015.</w:t>
      </w:r>
    </w:p>
    <w:p>
      <w:pPr>
        <w:spacing w:after="0" w:line="159" w:lineRule="exact"/>
        <w:rPr>
          <w:rFonts w:ascii="Times New Roman" w:cs="Times New Roman" w:eastAsia="Times New Roman" w:hAnsi="Times New Roman"/>
          <w:sz w:val="20"/>
          <w:szCs w:val="20"/>
          <w:color w:val="auto"/>
        </w:rPr>
      </w:pPr>
    </w:p>
    <w:p>
      <w:pPr>
        <w:jc w:val="both"/>
        <w:ind w:firstLine="872"/>
        <w:spacing w:after="0" w:line="274" w:lineRule="auto"/>
        <w:tabs>
          <w:tab w:leader="none" w:pos="1693"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Amended and Restated Certificate of Incorporation was duly adopted in accordance with Sections 242 and 245 of the General Corporation Law of the State of Delaware (the “</w:t>
      </w:r>
      <w:r>
        <w:rPr>
          <w:rFonts w:ascii="Times New Roman" w:cs="Times New Roman" w:eastAsia="Times New Roman" w:hAnsi="Times New Roman"/>
          <w:sz w:val="19"/>
          <w:szCs w:val="19"/>
          <w:b w:val="1"/>
          <w:bCs w:val="1"/>
          <w:color w:val="auto"/>
        </w:rPr>
        <w:t>DGCL</w:t>
      </w:r>
      <w:r>
        <w:rPr>
          <w:rFonts w:ascii="Times New Roman" w:cs="Times New Roman" w:eastAsia="Times New Roman" w:hAnsi="Times New Roman"/>
          <w:sz w:val="19"/>
          <w:szCs w:val="19"/>
          <w:color w:val="auto"/>
        </w:rPr>
        <w:t>”) by the Board of Directors of the Company (the “</w:t>
      </w:r>
      <w:r>
        <w:rPr>
          <w:rFonts w:ascii="Times New Roman" w:cs="Times New Roman" w:eastAsia="Times New Roman" w:hAnsi="Times New Roman"/>
          <w:sz w:val="19"/>
          <w:szCs w:val="19"/>
          <w:b w:val="1"/>
          <w:bCs w:val="1"/>
          <w:color w:val="auto"/>
        </w:rPr>
        <w:t>Board of Directors</w:t>
      </w:r>
      <w:r>
        <w:rPr>
          <w:rFonts w:ascii="Times New Roman" w:cs="Times New Roman" w:eastAsia="Times New Roman" w:hAnsi="Times New Roman"/>
          <w:sz w:val="19"/>
          <w:szCs w:val="19"/>
          <w:color w:val="auto"/>
        </w:rPr>
        <w:t>”) and has been duly approved by the written consent of the stockholders of the Company in accordance with Section 228 of the DGCL.</w:t>
      </w:r>
    </w:p>
    <w:p>
      <w:pPr>
        <w:spacing w:after="0" w:line="156" w:lineRule="exact"/>
        <w:rPr>
          <w:rFonts w:ascii="Times New Roman" w:cs="Times New Roman" w:eastAsia="Times New Roman" w:hAnsi="Times New Roman"/>
          <w:sz w:val="19"/>
          <w:szCs w:val="19"/>
          <w:color w:val="auto"/>
        </w:rPr>
      </w:pPr>
    </w:p>
    <w:p>
      <w:pPr>
        <w:ind w:left="1700" w:hanging="828"/>
        <w:spacing w:after="0"/>
        <w:tabs>
          <w:tab w:leader="none" w:pos="1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text of the Amended and Restated Certificate of Incorporation is hereby amended and restated in its entirety to read</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as follows: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name of the Company is Athira Pharma,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0"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The address of the Company’s registered office in the State of Delaware is 251 Little Falls Drive, Wilmington, County of New Castle, Delaware 19808. The name of its registered agent at such address is Corporation Service Company.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0"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The nature of the business or purposes to be conducted or promoted by the Company is to engage in any lawful act or activity for which corporations may be organized under the DGCL.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Section 1. This Company is authorized to issue two classes of stock, to be designated, respectively, Common Stock and Preferred Stock. The total number of shares of stock that the Company shall have authority to issue is 1,000,000,000 shares, of which 900,000,000 shares are Common Stock, $0.0001 par value per share, and 100,000,000 shares are Preferred Stock, $0.0001 par value per share.</w:t>
      </w:r>
    </w:p>
    <w:p>
      <w:pPr>
        <w:spacing w:after="0" w:line="200" w:lineRule="exact"/>
        <w:rPr>
          <w:sz w:val="20"/>
          <w:szCs w:val="20"/>
          <w:color w:val="auto"/>
        </w:rPr>
      </w:pPr>
    </w:p>
    <w:p>
      <w:pPr>
        <w:spacing w:after="0" w:line="215" w:lineRule="exact"/>
        <w:rPr>
          <w:sz w:val="20"/>
          <w:szCs w:val="20"/>
          <w:color w:val="auto"/>
        </w:rPr>
      </w:pPr>
    </w:p>
    <w:p>
      <w:pPr>
        <w:ind w:left="880"/>
        <w:spacing w:after="0"/>
        <w:tabs>
          <w:tab w:leader="none" w:pos="230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20"/>
          <w:szCs w:val="20"/>
          <w:color w:val="auto"/>
        </w:rPr>
        <w:t>Each share of Common Stock outstanding as of the applicable record date shall entitle the holder thereof to one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vote on any matter submitted to a vote at a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9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84"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0"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9"/>
          <w:szCs w:val="19"/>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Times New Roman" w:cs="Times New Roman" w:eastAsia="Times New Roman" w:hAnsi="Times New Roman"/>
          <w:sz w:val="19"/>
          <w:szCs w:val="19"/>
          <w:b w:val="1"/>
          <w:bCs w:val="1"/>
          <w:color w:val="auto"/>
        </w:rPr>
        <w:t>Whole Board</w:t>
      </w:r>
      <w:r>
        <w:rPr>
          <w:rFonts w:ascii="Times New Roman" w:cs="Times New Roman" w:eastAsia="Times New Roman" w:hAnsi="Times New Roman"/>
          <w:sz w:val="19"/>
          <w:szCs w:val="19"/>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Section 2. 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no decrease in the number of directors constituting the Board of Directors shall shorten the term of any incumbent director.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20"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spacing w:after="0" w:line="18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18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20" w:lineRule="exact"/>
        <w:rPr>
          <w:sz w:val="20"/>
          <w:szCs w:val="20"/>
          <w:color w:val="auto"/>
        </w:rPr>
      </w:pPr>
    </w:p>
    <w:p>
      <w:pPr>
        <w:ind w:left="880"/>
        <w:spacing w:after="0"/>
        <w:tabs>
          <w:tab w:leader="none" w:pos="230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The Company is to have perpetual existence.</w:t>
      </w:r>
    </w:p>
    <w:p>
      <w:pPr>
        <w:spacing w:after="0" w:line="216"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Section 2. 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provided that the affirmative vote of the holders of at least 66 2/3% of the total voting power of outstanding voting securities, voting together as a single class, shall be required for the stockholders of the Company to alter, amend or repeal, or adopt any bylaw inconsistent with, Article II, Sections 3.1, 3.2, 3.4 and 3.11 of Article III, Article VIII, Section 9.5 of Article IX or Article X of the Bylaws (including, without limitation, any such Article or Section as renumbered as a result of any amendment, alteration, change, repeal, or adoption of any other Bylaw). No Bylaw hereafter legally adopted, amended, altered or repealed shall invalidate any prior act of the directors or officers of the Company that would have been valid if such Bylaw had not been adopted, amended, altered or repealed.</w:t>
      </w:r>
    </w:p>
    <w:p>
      <w:pPr>
        <w:spacing w:after="0" w:line="192" w:lineRule="exact"/>
        <w:rPr>
          <w:sz w:val="20"/>
          <w:szCs w:val="20"/>
          <w:color w:val="auto"/>
        </w:rPr>
      </w:pPr>
    </w:p>
    <w:p>
      <w:pPr>
        <w:ind w:left="880"/>
        <w:spacing w:after="0"/>
        <w:tabs>
          <w:tab w:leader="none" w:pos="230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The election of directors need not be by written ballot unless the Bylaws of the Company shall so provide.</w:t>
      </w:r>
    </w:p>
    <w:p>
      <w:pPr>
        <w:spacing w:after="0" w:line="216" w:lineRule="exact"/>
        <w:rPr>
          <w:sz w:val="20"/>
          <w:szCs w:val="20"/>
          <w:color w:val="auto"/>
        </w:rPr>
      </w:pPr>
    </w:p>
    <w:p>
      <w:pPr>
        <w:ind w:left="880"/>
        <w:spacing w:after="0"/>
        <w:tabs>
          <w:tab w:leader="none" w:pos="230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No stockholder will be permitted to cumulate votes at any election of directors.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20"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Section 1. 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8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85"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0"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8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4"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20"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9"/>
          <w:szCs w:val="19"/>
          <w:color w:val="auto"/>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ind w:firstLine="864"/>
        <w:spacing w:after="0" w:line="269" w:lineRule="auto"/>
        <w:rPr>
          <w:sz w:val="20"/>
          <w:szCs w:val="20"/>
          <w:color w:val="auto"/>
        </w:rPr>
      </w:pPr>
      <w:r>
        <w:rPr>
          <w:rFonts w:ascii="Times New Roman" w:cs="Times New Roman" w:eastAsia="Times New Roman" w:hAnsi="Times New Roman"/>
          <w:sz w:val="20"/>
          <w:szCs w:val="20"/>
          <w:color w:val="auto"/>
        </w:rPr>
        <w:t>IN WITNESS WHEREOF, Athira Pharma, Inc. has caused this Amended and Restated Certificate of Incorporation to be signed by the President and Chief Executive Officer of the Company on this ____ day of _________ 2020.</w:t>
      </w: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13970</wp:posOffset>
            </wp:positionV>
            <wp:extent cx="33172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0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Leen Kawas</w:t>
      </w:r>
    </w:p>
    <w:p>
      <w:pPr>
        <w:spacing w:after="0" w:line="2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33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AMENDED AND RESTATED BYLAWS OF</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(initially adopted on [</w:t>
      </w:r>
      <w:r>
        <w:rPr>
          <w:rFonts w:ascii="Times New Roman" w:cs="Times New Roman" w:eastAsia="Times New Roman" w:hAnsi="Times New Roman"/>
          <w:sz w:val="20"/>
          <w:szCs w:val="20"/>
          <w:i w:val="1"/>
          <w:iCs w:val="1"/>
          <w:color w:val="auto"/>
        </w:rPr>
        <w:t>bylaw adoption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(as amended on [</w:t>
      </w:r>
      <w:r>
        <w:rPr>
          <w:rFonts w:ascii="Times New Roman" w:cs="Times New Roman" w:eastAsia="Times New Roman" w:hAnsi="Times New Roman"/>
          <w:sz w:val="20"/>
          <w:szCs w:val="20"/>
          <w:i w:val="1"/>
          <w:iCs w:val="1"/>
          <w:color w:val="auto"/>
        </w:rPr>
        <w:t>bylaw amendment date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496570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62"/>
        </w:trPr>
        <w:tc>
          <w:tcPr>
            <w:tcW w:w="2060" w:type="dxa"/>
            <w:vAlign w:val="bottom"/>
          </w:tcPr>
          <w:p>
            <w:pPr>
              <w:spacing w:after="0"/>
              <w:rPr>
                <w:sz w:val="22"/>
                <w:szCs w:val="22"/>
                <w:color w:val="auto"/>
              </w:rPr>
            </w:pPr>
          </w:p>
        </w:tc>
        <w:tc>
          <w:tcPr>
            <w:tcW w:w="7740" w:type="dxa"/>
            <w:vAlign w:val="bottom"/>
          </w:tcPr>
          <w:p>
            <w:pPr>
              <w:ind w:left="25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460" w:type="dxa"/>
            <w:vAlign w:val="bottom"/>
          </w:tcPr>
          <w:p>
            <w:pPr>
              <w:spacing w:after="0"/>
              <w:rPr>
                <w:sz w:val="22"/>
                <w:szCs w:val="22"/>
                <w:color w:val="auto"/>
              </w:rPr>
            </w:pPr>
          </w:p>
        </w:tc>
      </w:tr>
      <w:tr>
        <w:trPr>
          <w:trHeight w:val="446"/>
        </w:trPr>
        <w:tc>
          <w:tcPr>
            <w:tcW w:w="20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Page</w:t>
            </w:r>
          </w:p>
        </w:tc>
      </w:tr>
      <w:tr>
        <w:trPr>
          <w:trHeight w:val="446"/>
        </w:trPr>
        <w:tc>
          <w:tcPr>
            <w:tcW w:w="9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 CORPORATE OFFICES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2"/>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REGISTERED OFFICE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8"/>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1.2</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OFFICES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51"/>
        </w:trPr>
        <w:tc>
          <w:tcPr>
            <w:tcW w:w="9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 MEETINGS OF STOCKHOLDERS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2"/>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PLACE OF MEETINGS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2.2</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ANNUAL MEETING</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SPECIAL MEETING</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2.4</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ADVANCE NOTICE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2.5</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QUORUM</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2.7</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ADJOURNED MEETING; NOTICE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CONDUCT OF BUSINESS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2.9</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VOTING</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2.10</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STOCKHOLDER ACTION BY WRITTEN CONSENT WITHOUT A MEETING</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2.11</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RECORD DATES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2.12</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PROXIES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2.13</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LIST OF STOCKHOLDERS ENTITLED TO VOTE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8"/>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2.14</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INSPECTORS OF ELECTION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51"/>
        </w:trPr>
        <w:tc>
          <w:tcPr>
            <w:tcW w:w="9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 DIRECTORS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22"/>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3.1</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POWERS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NUMBER OF DIRECTORS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3.3</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ELECTION, QUALIFICATION AND TERM OF OFFICE OF DIRECTORS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3.4</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RESIGNATION AND VACANCIES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3.5</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PLACE OF MEETINGS; MEETINGS BY TELEPHONE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3.6</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REGULAR MEETINGS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3.7</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SPECIAL MEETINGS; NOTICE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3.8</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QUORUM; VOTING</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3.9</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BOARD ACTION BY WRITTEN CONSENT WITHOUT A MEETING</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3.10</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FEES AND COMPENSATION OF DIRECTORS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8"/>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3.11</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REMOVAL OF DIRECTORS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9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 COMMITTEES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22"/>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4.1</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COMMITTEES OF DIRECTORS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4.2</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COMMITTEE MINUTES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4.3</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MEETINGS AND ACTION OF COMMITTEES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4.4</w:t>
            </w:r>
          </w:p>
        </w:tc>
        <w:tc>
          <w:tcPr>
            <w:tcW w:w="7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SUBCOMMITTEES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8"/>
        </w:trPr>
        <w:tc>
          <w:tcPr>
            <w:tcW w:w="2060" w:type="dxa"/>
            <w:vAlign w:val="bottom"/>
          </w:tcPr>
          <w:p>
            <w:pPr>
              <w:spacing w:after="0"/>
              <w:rPr>
                <w:sz w:val="22"/>
                <w:szCs w:val="22"/>
                <w:color w:val="auto"/>
              </w:rPr>
            </w:pPr>
          </w:p>
        </w:tc>
        <w:tc>
          <w:tcPr>
            <w:tcW w:w="7740" w:type="dxa"/>
            <w:vAlign w:val="bottom"/>
          </w:tcPr>
          <w:p>
            <w:pPr>
              <w:ind w:left="3480"/>
              <w:spacing w:after="0"/>
              <w:rPr>
                <w:sz w:val="20"/>
                <w:szCs w:val="20"/>
                <w:color w:val="auto"/>
              </w:rPr>
            </w:pPr>
            <w:r>
              <w:rPr>
                <w:rFonts w:ascii="Times New Roman" w:cs="Times New Roman" w:eastAsia="Times New Roman" w:hAnsi="Times New Roman"/>
                <w:sz w:val="20"/>
                <w:szCs w:val="20"/>
                <w:color w:val="auto"/>
              </w:rPr>
              <w:t>-i-</w:t>
            </w:r>
          </w:p>
        </w:tc>
        <w:tc>
          <w:tcPr>
            <w:tcW w:w="1460" w:type="dxa"/>
            <w:vAlign w:val="bottom"/>
          </w:tcPr>
          <w:p>
            <w:pPr>
              <w:spacing w:after="0"/>
              <w:rPr>
                <w:sz w:val="22"/>
                <w:szCs w:val="22"/>
                <w:color w:val="auto"/>
              </w:rPr>
            </w:pPr>
          </w:p>
        </w:tc>
      </w:tr>
      <w:tr>
        <w:trPr>
          <w:trHeight w:val="109"/>
        </w:trPr>
        <w:tc>
          <w:tcPr>
            <w:tcW w:w="2060" w:type="dxa"/>
            <w:vAlign w:val="bottom"/>
            <w:tcBorders>
              <w:bottom w:val="single" w:sz="8" w:color="9A9A9A"/>
            </w:tcBorders>
          </w:tcPr>
          <w:p>
            <w:pPr>
              <w:spacing w:after="0"/>
              <w:rPr>
                <w:sz w:val="9"/>
                <w:szCs w:val="9"/>
                <w:color w:val="auto"/>
              </w:rPr>
            </w:pPr>
          </w:p>
        </w:tc>
        <w:tc>
          <w:tcPr>
            <w:tcW w:w="77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(continued)</w:t>
      </w:r>
    </w:p>
    <w:tbl>
      <w:tblPr>
        <w:tblLayout w:type="fixed"/>
        <w:tblInd w:w="0" w:type="dxa"/>
        <w:tblCellMar>
          <w:top w:w="0" w:type="dxa"/>
          <w:left w:w="0" w:type="dxa"/>
          <w:bottom w:w="0" w:type="dxa"/>
          <w:right w:w="0" w:type="dxa"/>
        </w:tblCellMar>
      </w:tblPr>
      <w:tr>
        <w:trPr>
          <w:trHeight w:val="262"/>
        </w:trPr>
        <w:tc>
          <w:tcPr>
            <w:tcW w:w="216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Page</w:t>
            </w:r>
          </w:p>
        </w:tc>
      </w:tr>
      <w:tr>
        <w:trPr>
          <w:trHeight w:val="541"/>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ARTICLE V - OFFICERS</w:t>
            </w:r>
          </w:p>
        </w:tc>
        <w:tc>
          <w:tcPr>
            <w:tcW w:w="8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22"/>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OFFICERS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APPOINTMENT OF OFFICERS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SUBORDINATE OFFICERS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REMOVAL AND RESIGNATION OF OFFICERS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VACANCIES IN OFFICES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REPRESENTATION OF SECURITIES OF OTHER ENTITIES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58"/>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AUTHORITY AND DUTIES OF OFFICERS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51"/>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ARTICLE VI - STOCK</w:t>
            </w:r>
          </w:p>
        </w:tc>
        <w:tc>
          <w:tcPr>
            <w:tcW w:w="8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22"/>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CERTIFICATES; PARTLY PAID 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SPECIAL DESIGNATION ON CERTIFICATES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LOST CERTIFICATES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DIVIDENDS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 OF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TRANSFER AGREEMENTS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8"/>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REGISTERED STOCKHOLDERS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51"/>
        </w:trPr>
        <w:tc>
          <w:tcPr>
            <w:tcW w:w="10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 MANNER OF GIVING NOTICE AND WAIVER</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22"/>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TO STOCKHOLDERS SHARING AN ADDRESS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TO PERSON WITH WHOM COMMUNICATION IS UNLAWFUL</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8"/>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WAIVER OF NOTICE</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51"/>
        </w:trPr>
        <w:tc>
          <w:tcPr>
            <w:tcW w:w="10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 INDEMNIFICATION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22"/>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INDEMNIFICATION OF DIRECTORS AND OFFICERS IN THIRD PARTY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INDEMNIFICATION OF DIRECTORS AND OFFICERS IN ACTIONS BY OR IN THE RIGHT OF</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30"/>
        </w:trPr>
        <w:tc>
          <w:tcPr>
            <w:tcW w:w="2160" w:type="dxa"/>
            <w:vAlign w:val="bottom"/>
          </w:tcPr>
          <w:p>
            <w:pPr>
              <w:spacing w:after="0"/>
              <w:rPr>
                <w:sz w:val="19"/>
                <w:szCs w:val="19"/>
                <w:color w:val="auto"/>
              </w:rPr>
            </w:pP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COMPANY</w:t>
            </w:r>
          </w:p>
        </w:tc>
        <w:tc>
          <w:tcPr>
            <w:tcW w:w="680" w:type="dxa"/>
            <w:vAlign w:val="bottom"/>
          </w:tcPr>
          <w:p>
            <w:pPr>
              <w:spacing w:after="0"/>
              <w:rPr>
                <w:sz w:val="19"/>
                <w:szCs w:val="19"/>
                <w:color w:val="auto"/>
              </w:rPr>
            </w:pP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SUCCESSFUL DEFENSE</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INDEMNIFICATION OF OTHERS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ADVANCED PAYMENT OF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LIMITATION ON INDEMNIFICATION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DETERMINATION; CLAIM</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NON-EXCLUSIVITY OF RIGHTS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INSURANCE</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8.10</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SURVIVAL</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8.11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 OF REPEAL OR MODIFICATION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21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8.12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CERTAIN DEFINITIONS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8"/>
        </w:trPr>
        <w:tc>
          <w:tcPr>
            <w:tcW w:w="2160" w:type="dxa"/>
            <w:vAlign w:val="bottom"/>
          </w:tcPr>
          <w:p>
            <w:pPr>
              <w:spacing w:after="0"/>
              <w:rPr>
                <w:sz w:val="22"/>
                <w:szCs w:val="22"/>
                <w:color w:val="auto"/>
              </w:rPr>
            </w:pPr>
          </w:p>
        </w:tc>
        <w:tc>
          <w:tcPr>
            <w:tcW w:w="8420" w:type="dxa"/>
            <w:vAlign w:val="bottom"/>
          </w:tcPr>
          <w:p>
            <w:pPr>
              <w:ind w:left="3340"/>
              <w:spacing w:after="0"/>
              <w:rPr>
                <w:sz w:val="20"/>
                <w:szCs w:val="20"/>
                <w:color w:val="auto"/>
              </w:rPr>
            </w:pPr>
            <w:r>
              <w:rPr>
                <w:rFonts w:ascii="Times New Roman" w:cs="Times New Roman" w:eastAsia="Times New Roman" w:hAnsi="Times New Roman"/>
                <w:sz w:val="20"/>
                <w:szCs w:val="20"/>
                <w:color w:val="auto"/>
              </w:rPr>
              <w:t>-ii-</w:t>
            </w:r>
          </w:p>
        </w:tc>
        <w:tc>
          <w:tcPr>
            <w:tcW w:w="680" w:type="dxa"/>
            <w:vAlign w:val="bottom"/>
          </w:tcPr>
          <w:p>
            <w:pPr>
              <w:spacing w:after="0"/>
              <w:rPr>
                <w:sz w:val="22"/>
                <w:szCs w:val="22"/>
                <w:color w:val="auto"/>
              </w:rPr>
            </w:pPr>
          </w:p>
        </w:tc>
      </w:tr>
      <w:tr>
        <w:trPr>
          <w:trHeight w:val="109"/>
        </w:trPr>
        <w:tc>
          <w:tcPr>
            <w:tcW w:w="2160" w:type="dxa"/>
            <w:vAlign w:val="bottom"/>
            <w:tcBorders>
              <w:bottom w:val="single" w:sz="8" w:color="9A9A9A"/>
            </w:tcBorders>
          </w:tcPr>
          <w:p>
            <w:pPr>
              <w:spacing w:after="0"/>
              <w:rPr>
                <w:sz w:val="9"/>
                <w:szCs w:val="9"/>
                <w:color w:val="auto"/>
              </w:rPr>
            </w:pPr>
          </w:p>
        </w:tc>
        <w:tc>
          <w:tcPr>
            <w:tcW w:w="84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(continued)</w:t>
      </w:r>
    </w:p>
    <w:tbl>
      <w:tblPr>
        <w:tblLayout w:type="fixed"/>
        <w:tblInd w:w="0" w:type="dxa"/>
        <w:tblCellMar>
          <w:top w:w="0" w:type="dxa"/>
          <w:left w:w="0" w:type="dxa"/>
          <w:bottom w:w="0" w:type="dxa"/>
          <w:right w:w="0" w:type="dxa"/>
        </w:tblCellMar>
      </w:tblPr>
      <w:tr>
        <w:trPr>
          <w:trHeight w:val="262"/>
        </w:trPr>
        <w:tc>
          <w:tcPr>
            <w:tcW w:w="206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Page</w:t>
            </w:r>
          </w:p>
        </w:tc>
      </w:tr>
      <w:tr>
        <w:trPr>
          <w:trHeight w:val="541"/>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 GENERAL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2"/>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9.1</w:t>
            </w:r>
          </w:p>
        </w:tc>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EXECUTION OF CORPORATE CONTRACTS AND INSTRUMENTS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9.2</w:t>
            </w:r>
          </w:p>
        </w:tc>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FISCAL YEAR</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9.3</w:t>
            </w:r>
          </w:p>
        </w:tc>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SEAL</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9.4</w:t>
            </w:r>
          </w:p>
        </w:tc>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CONSTRUCTION; DEFINITIONS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2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9.5</w:t>
            </w:r>
          </w:p>
        </w:tc>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FORUM SELECTION</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8"/>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 AMENDMENTS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BYLAWS OF 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299720</wp:posOffset>
            </wp:positionV>
            <wp:extent cx="25546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 CORPORATE OFFICES</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REGISTERED OFFICE</w:t>
      </w:r>
    </w:p>
    <w:p>
      <w:pPr>
        <w:spacing w:after="0" w:line="21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The registered office of Athira Pharma,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be fixed in the Company’s certificate of incorporation, as the same may be amended from time to time.</w:t>
      </w:r>
    </w:p>
    <w:p>
      <w:pPr>
        <w:spacing w:after="0" w:line="15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OTHER OFFICES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Company may at any time establish other offices.</w:t>
      </w:r>
    </w:p>
    <w:p>
      <w:pPr>
        <w:spacing w:after="0" w:line="3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ARTICLE II - MEETINGS OF STOCKHOLDERS</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PLACE OF MEETINGS</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In the absence of any such designation or determination, stockholders’ meetings shall be held at the Company’s principal executive office.</w:t>
      </w:r>
    </w:p>
    <w:p>
      <w:pPr>
        <w:spacing w:after="0" w:line="185"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ANNUAL MEETING</w:t>
      </w:r>
    </w:p>
    <w:p>
      <w:pPr>
        <w:spacing w:after="0" w:line="21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20"/>
          <w:szCs w:val="20"/>
          <w:b w:val="1"/>
          <w:bCs w:val="1"/>
          <w:color w:val="auto"/>
        </w:rPr>
        <w:t>Whole Board</w:t>
      </w:r>
      <w:r>
        <w:rPr>
          <w:rFonts w:ascii="Times New Roman" w:cs="Times New Roman" w:eastAsia="Times New Roman" w:hAnsi="Times New Roman"/>
          <w:sz w:val="20"/>
          <w:szCs w:val="20"/>
          <w:color w:val="auto"/>
        </w:rPr>
        <w:t>” shall mean the total number of authorized directorships whether or not there exist any vacancies or other unfilled seats in previously authorized directorships.</w:t>
      </w:r>
    </w:p>
    <w:p>
      <w:pPr>
        <w:spacing w:after="0" w:line="18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SPECIAL MEETING</w:t>
      </w:r>
    </w:p>
    <w:p>
      <w:pPr>
        <w:spacing w:after="0" w:line="216" w:lineRule="exact"/>
        <w:rPr>
          <w:sz w:val="20"/>
          <w:szCs w:val="20"/>
          <w:color w:val="auto"/>
        </w:rPr>
      </w:pPr>
    </w:p>
    <w:p>
      <w:pPr>
        <w:jc w:val="both"/>
        <w:ind w:right="20" w:firstLine="1735"/>
        <w:spacing w:after="0" w:line="250" w:lineRule="auto"/>
        <w:tabs>
          <w:tab w:leader="none" w:pos="2595"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special meeting of the stockholders, other than as required by statute, may be called at any time by (i) the Board of Directors acting pursuant to a resolution adopted by a majority of the Whole Board, (ii) the chairperson of the Board of Directors,</w:t>
      </w:r>
    </w:p>
    <w:p>
      <w:pPr>
        <w:spacing w:after="0" w:line="1" w:lineRule="exact"/>
        <w:rPr>
          <w:rFonts w:ascii="Times New Roman" w:cs="Times New Roman" w:eastAsia="Times New Roman" w:hAnsi="Times New Roman"/>
          <w:sz w:val="20"/>
          <w:szCs w:val="20"/>
          <w:color w:val="auto"/>
        </w:rPr>
      </w:pPr>
    </w:p>
    <w:p>
      <w:pPr>
        <w:jc w:val="both"/>
        <w:ind w:firstLine="8"/>
        <w:spacing w:after="0" w:line="241" w:lineRule="auto"/>
        <w:tabs>
          <w:tab w:leader="none" w:pos="3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88"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0" w:name="page61"/>
    <w:bookmarkEnd w:id="60"/>
    <w:p>
      <w:pPr>
        <w:jc w:val="both"/>
        <w:ind w:left="-880" w:firstLine="1735"/>
        <w:spacing w:after="0" w:line="246" w:lineRule="auto"/>
        <w:tabs>
          <w:tab w:leader="none" w:pos="172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ADVANCE NOTICE PROCEDURES</w:t>
      </w:r>
    </w:p>
    <w:p>
      <w:pPr>
        <w:spacing w:after="0" w:line="212" w:lineRule="exact"/>
        <w:rPr>
          <w:sz w:val="20"/>
          <w:szCs w:val="20"/>
          <w:color w:val="auto"/>
        </w:rPr>
      </w:pPr>
    </w:p>
    <w:p>
      <w:pPr>
        <w:ind w:left="1720" w:hanging="865"/>
        <w:spacing w:after="0"/>
        <w:tabs>
          <w:tab w:leader="none" w:pos="1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Annual Meetings of Stockholders.</w:t>
      </w:r>
    </w:p>
    <w:p>
      <w:pPr>
        <w:spacing w:after="0" w:line="219" w:lineRule="exact"/>
        <w:rPr>
          <w:rFonts w:ascii="Times New Roman" w:cs="Times New Roman" w:eastAsia="Times New Roman" w:hAnsi="Times New Roman"/>
          <w:sz w:val="20"/>
          <w:szCs w:val="20"/>
          <w:color w:val="auto"/>
        </w:rPr>
      </w:pPr>
    </w:p>
    <w:p>
      <w:pPr>
        <w:jc w:val="both"/>
        <w:ind w:left="-880" w:firstLine="2600"/>
        <w:spacing w:after="0" w:line="243" w:lineRule="auto"/>
        <w:tabs>
          <w:tab w:leader="none" w:pos="254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89" w:lineRule="exact"/>
        <w:rPr>
          <w:rFonts w:ascii="Times New Roman" w:cs="Times New Roman" w:eastAsia="Times New Roman" w:hAnsi="Times New Roman"/>
          <w:sz w:val="20"/>
          <w:szCs w:val="20"/>
          <w:color w:val="auto"/>
        </w:rPr>
      </w:pPr>
    </w:p>
    <w:p>
      <w:pPr>
        <w:jc w:val="both"/>
        <w:ind w:left="-880" w:firstLine="2600"/>
        <w:spacing w:after="0" w:line="254" w:lineRule="auto"/>
        <w:tabs>
          <w:tab w:leader="none" w:pos="2602"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Times New Roman" w:cs="Times New Roman" w:eastAsia="Times New Roman" w:hAnsi="Times New Roman"/>
          <w:sz w:val="19"/>
          <w:szCs w:val="19"/>
          <w:b w:val="1"/>
          <w:bCs w:val="1"/>
          <w:color w:val="auto"/>
        </w:rPr>
        <w:t>Public announcement</w:t>
      </w:r>
      <w:r>
        <w:rPr>
          <w:rFonts w:ascii="Times New Roman" w:cs="Times New Roman" w:eastAsia="Times New Roman" w:hAnsi="Times New Roman"/>
          <w:sz w:val="19"/>
          <w:szCs w:val="19"/>
          <w:color w:val="auto"/>
        </w:rPr>
        <w:t>” 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Times New Roman" w:cs="Times New Roman" w:eastAsia="Times New Roman" w:hAnsi="Times New Roman"/>
          <w:sz w:val="19"/>
          <w:szCs w:val="19"/>
          <w:b w:val="1"/>
          <w:bCs w:val="1"/>
          <w:color w:val="auto"/>
        </w:rPr>
        <w:t>1934 Act</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4700" w:hanging="121"/>
        <w:spacing w:after="0"/>
        <w:tabs>
          <w:tab w:leader="none" w:pos="470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49" w:right="339" w:bottom="1440" w:gutter="0" w:footer="0" w:header="0"/>
        </w:sectPr>
      </w:pPr>
    </w:p>
    <w:bookmarkStart w:id="61" w:name="page62"/>
    <w:bookmarkEnd w:id="61"/>
    <w:p>
      <w:pPr>
        <w:ind w:left="3540" w:hanging="940"/>
        <w:spacing w:after="0"/>
        <w:tabs>
          <w:tab w:leader="none" w:pos="35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stockholder’s notice to the secretary must set forth:</w:t>
      </w:r>
    </w:p>
    <w:p>
      <w:pPr>
        <w:spacing w:after="0" w:line="215" w:lineRule="exact"/>
        <w:rPr>
          <w:rFonts w:ascii="Times New Roman" w:cs="Times New Roman" w:eastAsia="Times New Roman" w:hAnsi="Times New Roman"/>
          <w:sz w:val="20"/>
          <w:szCs w:val="20"/>
          <w:color w:val="auto"/>
        </w:rPr>
      </w:pPr>
    </w:p>
    <w:p>
      <w:pPr>
        <w:ind w:left="4340" w:hanging="876"/>
        <w:spacing w:after="0"/>
        <w:tabs>
          <w:tab w:leader="none" w:pos="43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the stockholder proposes to nominate for election as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194" w:lineRule="exact"/>
        <w:rPr>
          <w:sz w:val="20"/>
          <w:szCs w:val="20"/>
          <w:color w:val="auto"/>
        </w:rPr>
      </w:pPr>
    </w:p>
    <w:p>
      <w:pPr>
        <w:jc w:val="both"/>
        <w:ind w:firstLine="4328"/>
        <w:spacing w:after="0" w:line="244" w:lineRule="auto"/>
        <w:tabs>
          <w:tab w:leader="none" w:pos="52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the Section 14 of the 1934 Act;</w:t>
      </w:r>
    </w:p>
    <w:p>
      <w:pPr>
        <w:spacing w:after="0" w:line="185" w:lineRule="exact"/>
        <w:rPr>
          <w:rFonts w:ascii="Times New Roman" w:cs="Times New Roman" w:eastAsia="Times New Roman" w:hAnsi="Times New Roman"/>
          <w:sz w:val="20"/>
          <w:szCs w:val="20"/>
          <w:color w:val="auto"/>
        </w:rPr>
      </w:pPr>
    </w:p>
    <w:p>
      <w:pPr>
        <w:ind w:left="5240" w:hanging="912"/>
        <w:spacing w:after="0"/>
        <w:tabs>
          <w:tab w:leader="none" w:pos="52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written consent to being named in such stockholder’s proxy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statement as a nominee of such stockholder and to serving as a director of the Company if elected;</w:t>
      </w:r>
    </w:p>
    <w:p>
      <w:pPr>
        <w:spacing w:after="0" w:line="193" w:lineRule="exact"/>
        <w:rPr>
          <w:rFonts w:ascii="Times New Roman" w:cs="Times New Roman" w:eastAsia="Times New Roman" w:hAnsi="Times New Roman"/>
          <w:sz w:val="20"/>
          <w:szCs w:val="20"/>
          <w:color w:val="auto"/>
        </w:rPr>
      </w:pPr>
    </w:p>
    <w:p>
      <w:pPr>
        <w:jc w:val="both"/>
        <w:ind w:firstLine="4328"/>
        <w:spacing w:after="0" w:line="246" w:lineRule="auto"/>
        <w:tabs>
          <w:tab w:leader="none" w:pos="5231"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Times New Roman" w:cs="Times New Roman" w:eastAsia="Times New Roman" w:hAnsi="Times New Roman"/>
          <w:sz w:val="20"/>
          <w:szCs w:val="20"/>
          <w:b w:val="1"/>
          <w:bCs w:val="1"/>
          <w:color w:val="auto"/>
        </w:rPr>
        <w:t>Third-Party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Arrangement</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jc w:val="both"/>
        <w:ind w:firstLine="4328"/>
        <w:spacing w:after="0" w:line="249" w:lineRule="auto"/>
        <w:tabs>
          <w:tab w:leader="none" w:pos="52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179" w:lineRule="exact"/>
        <w:rPr>
          <w:rFonts w:ascii="Times New Roman" w:cs="Times New Roman" w:eastAsia="Times New Roman" w:hAnsi="Times New Roman"/>
          <w:sz w:val="20"/>
          <w:szCs w:val="20"/>
          <w:color w:val="auto"/>
        </w:rPr>
      </w:pPr>
    </w:p>
    <w:p>
      <w:pPr>
        <w:ind w:left="4340" w:hanging="876"/>
        <w:spacing w:after="0"/>
        <w:tabs>
          <w:tab w:leader="none" w:pos="4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other business that the stockholder proposes to bring before the annual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w:t>
      </w:r>
    </w:p>
    <w:p>
      <w:pPr>
        <w:spacing w:after="0" w:line="193" w:lineRule="exact"/>
        <w:rPr>
          <w:rFonts w:ascii="Times New Roman" w:cs="Times New Roman" w:eastAsia="Times New Roman" w:hAnsi="Times New Roman"/>
          <w:sz w:val="20"/>
          <w:szCs w:val="20"/>
          <w:color w:val="auto"/>
        </w:rPr>
      </w:pPr>
    </w:p>
    <w:p>
      <w:pPr>
        <w:ind w:left="5260" w:hanging="932"/>
        <w:spacing w:after="0"/>
        <w:tabs>
          <w:tab w:leader="none" w:pos="526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description of the business desired to be brought before the annual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w:t>
      </w:r>
    </w:p>
    <w:p>
      <w:pPr>
        <w:spacing w:after="0" w:line="193" w:lineRule="exact"/>
        <w:rPr>
          <w:rFonts w:ascii="Times New Roman" w:cs="Times New Roman" w:eastAsia="Times New Roman" w:hAnsi="Times New Roman"/>
          <w:sz w:val="20"/>
          <w:szCs w:val="20"/>
          <w:color w:val="auto"/>
        </w:rPr>
      </w:pPr>
    </w:p>
    <w:p>
      <w:pPr>
        <w:jc w:val="both"/>
        <w:ind w:firstLine="4328"/>
        <w:spacing w:after="0" w:line="254" w:lineRule="auto"/>
        <w:tabs>
          <w:tab w:leader="none" w:pos="523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text of the proposal or business (including the text of any resolutions proposed for consideration and, if applicable, the text of any proposed amendment to these bylaws or the Company’s certificate of incorporation);</w:t>
      </w:r>
    </w:p>
    <w:p>
      <w:pPr>
        <w:spacing w:after="0" w:line="174" w:lineRule="exact"/>
        <w:rPr>
          <w:rFonts w:ascii="Times New Roman" w:cs="Times New Roman" w:eastAsia="Times New Roman" w:hAnsi="Times New Roman"/>
          <w:sz w:val="20"/>
          <w:szCs w:val="20"/>
          <w:color w:val="auto"/>
        </w:rPr>
      </w:pPr>
    </w:p>
    <w:p>
      <w:pPr>
        <w:ind w:left="5240" w:hanging="912"/>
        <w:spacing w:after="0"/>
        <w:tabs>
          <w:tab w:leader="none" w:pos="52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reasons for conducting such business at the annual meeting;</w:t>
      </w:r>
    </w:p>
    <w:p>
      <w:pPr>
        <w:spacing w:after="0" w:line="215" w:lineRule="exact"/>
        <w:rPr>
          <w:rFonts w:ascii="Times New Roman" w:cs="Times New Roman" w:eastAsia="Times New Roman" w:hAnsi="Times New Roman"/>
          <w:sz w:val="20"/>
          <w:szCs w:val="20"/>
          <w:color w:val="auto"/>
        </w:rPr>
      </w:pPr>
    </w:p>
    <w:p>
      <w:pPr>
        <w:jc w:val="both"/>
        <w:ind w:firstLine="4328"/>
        <w:spacing w:after="0" w:line="254" w:lineRule="auto"/>
        <w:tabs>
          <w:tab w:leader="none" w:pos="524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74"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p>
      <w:pPr>
        <w:jc w:val="both"/>
        <w:ind w:firstLine="4328"/>
        <w:spacing w:after="0" w:line="249" w:lineRule="auto"/>
        <w:tabs>
          <w:tab w:leader="none" w:pos="52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79" w:lineRule="exact"/>
        <w:rPr>
          <w:rFonts w:ascii="Times New Roman" w:cs="Times New Roman" w:eastAsia="Times New Roman" w:hAnsi="Times New Roman"/>
          <w:sz w:val="20"/>
          <w:szCs w:val="20"/>
          <w:color w:val="auto"/>
        </w:rPr>
      </w:pPr>
    </w:p>
    <w:p>
      <w:pPr>
        <w:ind w:left="4340" w:hanging="876"/>
        <w:spacing w:after="0"/>
        <w:tabs>
          <w:tab w:leader="none" w:pos="43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behalf the nomination or proposal is made:</w:t>
      </w:r>
    </w:p>
    <w:p>
      <w:pPr>
        <w:spacing w:after="0" w:line="193" w:lineRule="exact"/>
        <w:rPr>
          <w:rFonts w:ascii="Times New Roman" w:cs="Times New Roman" w:eastAsia="Times New Roman" w:hAnsi="Times New Roman"/>
          <w:sz w:val="20"/>
          <w:szCs w:val="20"/>
          <w:color w:val="auto"/>
        </w:rPr>
      </w:pPr>
    </w:p>
    <w:p>
      <w:pPr>
        <w:ind w:left="5260" w:hanging="932"/>
        <w:spacing w:after="0"/>
        <w:tabs>
          <w:tab w:leader="none" w:pos="526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Company’s books), of such beneficial owner and of their respective affiliates or associates or others acting in concert with them;</w:t>
      </w:r>
    </w:p>
    <w:p>
      <w:pPr>
        <w:spacing w:after="0" w:line="193" w:lineRule="exact"/>
        <w:rPr>
          <w:rFonts w:ascii="Times New Roman" w:cs="Times New Roman" w:eastAsia="Times New Roman" w:hAnsi="Times New Roman"/>
          <w:sz w:val="20"/>
          <w:szCs w:val="20"/>
          <w:color w:val="auto"/>
        </w:rPr>
      </w:pPr>
    </w:p>
    <w:p>
      <w:pPr>
        <w:jc w:val="both"/>
        <w:ind w:firstLine="4328"/>
        <w:spacing w:after="0" w:line="254" w:lineRule="auto"/>
        <w:tabs>
          <w:tab w:leader="none" w:pos="5231"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74" w:lineRule="exact"/>
        <w:rPr>
          <w:rFonts w:ascii="Times New Roman" w:cs="Times New Roman" w:eastAsia="Times New Roman" w:hAnsi="Times New Roman"/>
          <w:sz w:val="20"/>
          <w:szCs w:val="20"/>
          <w:color w:val="auto"/>
        </w:rPr>
      </w:pPr>
    </w:p>
    <w:p>
      <w:pPr>
        <w:jc w:val="both"/>
        <w:ind w:firstLine="4328"/>
        <w:spacing w:after="0" w:line="254" w:lineRule="auto"/>
        <w:tabs>
          <w:tab w:leader="none" w:pos="5231"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74" w:lineRule="exact"/>
        <w:rPr>
          <w:rFonts w:ascii="Times New Roman" w:cs="Times New Roman" w:eastAsia="Times New Roman" w:hAnsi="Times New Roman"/>
          <w:sz w:val="20"/>
          <w:szCs w:val="20"/>
          <w:color w:val="auto"/>
        </w:rPr>
      </w:pPr>
    </w:p>
    <w:p>
      <w:pPr>
        <w:jc w:val="both"/>
        <w:ind w:firstLine="4328"/>
        <w:spacing w:after="0" w:line="243" w:lineRule="auto"/>
        <w:tabs>
          <w:tab w:leader="none" w:pos="524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20"/>
          <w:szCs w:val="20"/>
          <w:b w:val="1"/>
          <w:bCs w:val="1"/>
          <w:color w:val="auto"/>
        </w:rPr>
        <w:t>Derivative Instrument</w:t>
      </w:r>
      <w:r>
        <w:rPr>
          <w:rFonts w:ascii="Times New Roman" w:cs="Times New Roman" w:eastAsia="Times New Roman" w:hAnsi="Times New Roman"/>
          <w:sz w:val="20"/>
          <w:szCs w:val="20"/>
          <w:color w:val="auto"/>
        </w:rPr>
        <w:t>”), or any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89" w:lineRule="exact"/>
        <w:rPr>
          <w:rFonts w:ascii="Times New Roman" w:cs="Times New Roman" w:eastAsia="Times New Roman" w:hAnsi="Times New Roman"/>
          <w:sz w:val="20"/>
          <w:szCs w:val="20"/>
          <w:color w:val="auto"/>
        </w:rPr>
      </w:pPr>
    </w:p>
    <w:p>
      <w:pPr>
        <w:jc w:val="both"/>
        <w:ind w:firstLine="4328"/>
        <w:spacing w:after="0" w:line="254" w:lineRule="auto"/>
        <w:tabs>
          <w:tab w:leader="none" w:pos="52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74" w:lineRule="exact"/>
        <w:rPr>
          <w:rFonts w:ascii="Times New Roman" w:cs="Times New Roman" w:eastAsia="Times New Roman" w:hAnsi="Times New Roman"/>
          <w:sz w:val="20"/>
          <w:szCs w:val="20"/>
          <w:color w:val="auto"/>
        </w:rPr>
      </w:pPr>
    </w:p>
    <w:p>
      <w:pPr>
        <w:jc w:val="both"/>
        <w:ind w:firstLine="4328"/>
        <w:spacing w:after="0" w:line="249" w:lineRule="auto"/>
        <w:tabs>
          <w:tab w:leader="none" w:pos="521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79" w:lineRule="exact"/>
        <w:rPr>
          <w:rFonts w:ascii="Times New Roman" w:cs="Times New Roman" w:eastAsia="Times New Roman" w:hAnsi="Times New Roman"/>
          <w:sz w:val="20"/>
          <w:szCs w:val="20"/>
          <w:color w:val="auto"/>
        </w:rPr>
      </w:pPr>
    </w:p>
    <w:p>
      <w:pPr>
        <w:jc w:val="both"/>
        <w:ind w:firstLine="4328"/>
        <w:spacing w:after="0" w:line="249" w:lineRule="auto"/>
        <w:tabs>
          <w:tab w:leader="none" w:pos="524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79"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jc w:val="both"/>
        <w:ind w:firstLine="4328"/>
        <w:spacing w:after="0" w:line="254" w:lineRule="auto"/>
        <w:tabs>
          <w:tab w:leader="none" w:pos="524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174" w:lineRule="exact"/>
        <w:rPr>
          <w:rFonts w:ascii="Times New Roman" w:cs="Times New Roman" w:eastAsia="Times New Roman" w:hAnsi="Times New Roman"/>
          <w:sz w:val="20"/>
          <w:szCs w:val="20"/>
          <w:color w:val="auto"/>
        </w:rPr>
      </w:pPr>
    </w:p>
    <w:p>
      <w:pPr>
        <w:jc w:val="both"/>
        <w:ind w:firstLine="4328"/>
        <w:spacing w:after="0" w:line="249" w:lineRule="auto"/>
        <w:tabs>
          <w:tab w:leader="none" w:pos="516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79" w:lineRule="exact"/>
        <w:rPr>
          <w:rFonts w:ascii="Times New Roman" w:cs="Times New Roman" w:eastAsia="Times New Roman" w:hAnsi="Times New Roman"/>
          <w:sz w:val="20"/>
          <w:szCs w:val="20"/>
          <w:color w:val="auto"/>
        </w:rPr>
      </w:pPr>
    </w:p>
    <w:p>
      <w:pPr>
        <w:jc w:val="both"/>
        <w:ind w:firstLine="4328"/>
        <w:spacing w:after="0" w:line="254" w:lineRule="auto"/>
        <w:tabs>
          <w:tab w:leader="none" w:pos="517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spacing w:after="0" w:line="174" w:lineRule="exact"/>
        <w:rPr>
          <w:rFonts w:ascii="Times New Roman" w:cs="Times New Roman" w:eastAsia="Times New Roman" w:hAnsi="Times New Roman"/>
          <w:sz w:val="20"/>
          <w:szCs w:val="20"/>
          <w:color w:val="auto"/>
        </w:rPr>
      </w:pPr>
    </w:p>
    <w:p>
      <w:pPr>
        <w:jc w:val="both"/>
        <w:ind w:firstLine="4328"/>
        <w:spacing w:after="0" w:line="249" w:lineRule="auto"/>
        <w:tabs>
          <w:tab w:leader="none" w:pos="524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79" w:lineRule="exact"/>
        <w:rPr>
          <w:rFonts w:ascii="Times New Roman" w:cs="Times New Roman" w:eastAsia="Times New Roman" w:hAnsi="Times New Roman"/>
          <w:sz w:val="20"/>
          <w:szCs w:val="20"/>
          <w:color w:val="auto"/>
        </w:rPr>
      </w:pPr>
    </w:p>
    <w:p>
      <w:pPr>
        <w:jc w:val="both"/>
        <w:ind w:firstLine="4328"/>
        <w:spacing w:after="0" w:line="249" w:lineRule="auto"/>
        <w:tabs>
          <w:tab w:leader="none" w:pos="522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79" w:lineRule="exact"/>
        <w:rPr>
          <w:rFonts w:ascii="Times New Roman" w:cs="Times New Roman" w:eastAsia="Times New Roman" w:hAnsi="Times New Roman"/>
          <w:sz w:val="20"/>
          <w:szCs w:val="20"/>
          <w:color w:val="auto"/>
        </w:rPr>
      </w:pPr>
    </w:p>
    <w:p>
      <w:pPr>
        <w:ind w:left="5280" w:hanging="952"/>
        <w:spacing w:after="0"/>
        <w:tabs>
          <w:tab w:leader="none" w:pos="528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relating to any proposed item of business as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may reasonably require to determine whether such proposed item of business is a proper matter for stockholder action.</w:t>
      </w:r>
    </w:p>
    <w:p>
      <w:pPr>
        <w:spacing w:after="0" w:line="193" w:lineRule="exact"/>
        <w:rPr>
          <w:rFonts w:ascii="Times New Roman" w:cs="Times New Roman" w:eastAsia="Times New Roman" w:hAnsi="Times New Roman"/>
          <w:sz w:val="20"/>
          <w:szCs w:val="20"/>
          <w:color w:val="auto"/>
        </w:rPr>
      </w:pPr>
    </w:p>
    <w:p>
      <w:pPr>
        <w:jc w:val="both"/>
        <w:ind w:firstLine="2600"/>
        <w:spacing w:after="0" w:line="241" w:lineRule="auto"/>
        <w:tabs>
          <w:tab w:leader="none" w:pos="352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supplement or additional information shall result in the nomination or proposal no longer being eligible for consideration at the meeting.</w:t>
      </w:r>
    </w:p>
    <w:p>
      <w:pPr>
        <w:spacing w:after="0" w:line="197"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4" w:name="page65"/>
    <w:bookmarkEnd w:id="64"/>
    <w:p>
      <w:pPr>
        <w:jc w:val="both"/>
        <w:ind w:firstLine="1735"/>
        <w:spacing w:after="0" w:line="241" w:lineRule="auto"/>
        <w:tabs>
          <w:tab w:leader="none" w:pos="260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Special Meetings of Stockholders</w:t>
      </w:r>
      <w:r>
        <w:rPr>
          <w:rFonts w:ascii="Times New Roman" w:cs="Times New Roman" w:eastAsia="Times New Roman" w:hAnsi="Times New Roman"/>
          <w:sz w:val="20"/>
          <w:szCs w:val="20"/>
          <w:color w:val="auto"/>
        </w:rPr>
        <w:t>. Except to the extent required by the DGCL, and subject to Section 2.3(a),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special meetings of 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94"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Requirements.</w:t>
      </w:r>
    </w:p>
    <w:p>
      <w:pPr>
        <w:spacing w:after="0" w:line="219" w:lineRule="exact"/>
        <w:rPr>
          <w:rFonts w:ascii="Times New Roman" w:cs="Times New Roman" w:eastAsia="Times New Roman" w:hAnsi="Times New Roman"/>
          <w:sz w:val="20"/>
          <w:szCs w:val="20"/>
          <w:color w:val="auto"/>
        </w:rPr>
      </w:pPr>
    </w:p>
    <w:p>
      <w:pPr>
        <w:jc w:val="both"/>
        <w:ind w:firstLine="2600"/>
        <w:spacing w:after="0" w:line="254" w:lineRule="auto"/>
        <w:tabs>
          <w:tab w:leader="none" w:pos="3427"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174" w:lineRule="exact"/>
        <w:rPr>
          <w:rFonts w:ascii="Times New Roman" w:cs="Times New Roman" w:eastAsia="Times New Roman" w:hAnsi="Times New Roman"/>
          <w:sz w:val="20"/>
          <w:szCs w:val="20"/>
          <w:color w:val="auto"/>
        </w:rPr>
      </w:pPr>
    </w:p>
    <w:p>
      <w:pPr>
        <w:jc w:val="both"/>
        <w:ind w:firstLine="3464"/>
        <w:spacing w:after="0" w:line="246" w:lineRule="auto"/>
        <w:tabs>
          <w:tab w:leader="none" w:pos="4335"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84" w:lineRule="exact"/>
        <w:rPr>
          <w:rFonts w:ascii="Times New Roman" w:cs="Times New Roman" w:eastAsia="Times New Roman" w:hAnsi="Times New Roman"/>
          <w:sz w:val="20"/>
          <w:szCs w:val="20"/>
          <w:color w:val="auto"/>
        </w:rPr>
      </w:pPr>
    </w:p>
    <w:p>
      <w:pPr>
        <w:jc w:val="both"/>
        <w:ind w:firstLine="3464"/>
        <w:spacing w:after="0" w:line="254" w:lineRule="auto"/>
        <w:tabs>
          <w:tab w:leader="none" w:pos="4335"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74" w:lineRule="exact"/>
        <w:rPr>
          <w:rFonts w:ascii="Times New Roman" w:cs="Times New Roman" w:eastAsia="Times New Roman" w:hAnsi="Times New Roman"/>
          <w:sz w:val="20"/>
          <w:szCs w:val="20"/>
          <w:color w:val="auto"/>
        </w:rPr>
      </w:pPr>
    </w:p>
    <w:p>
      <w:pPr>
        <w:ind w:left="4340" w:hanging="876"/>
        <w:spacing w:after="0"/>
        <w:tabs>
          <w:tab w:leader="none" w:pos="4340"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unless previously disclosed to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such nominee is not, and will not become, a party to any Third-Party Compensation Arrangement;</w:t>
      </w:r>
    </w:p>
    <w:p>
      <w:pPr>
        <w:spacing w:after="0" w:line="193" w:lineRule="exact"/>
        <w:rPr>
          <w:rFonts w:ascii="Times New Roman" w:cs="Times New Roman" w:eastAsia="Times New Roman" w:hAnsi="Times New Roman"/>
          <w:sz w:val="20"/>
          <w:szCs w:val="20"/>
          <w:color w:val="auto"/>
        </w:rPr>
      </w:pPr>
    </w:p>
    <w:p>
      <w:pPr>
        <w:jc w:val="both"/>
        <w:ind w:right="20" w:firstLine="3464"/>
        <w:spacing w:after="0" w:line="254" w:lineRule="auto"/>
        <w:tabs>
          <w:tab w:leader="none" w:pos="4335"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174" w:lineRule="exact"/>
        <w:rPr>
          <w:rFonts w:ascii="Times New Roman" w:cs="Times New Roman" w:eastAsia="Times New Roman" w:hAnsi="Times New Roman"/>
          <w:sz w:val="20"/>
          <w:szCs w:val="20"/>
          <w:color w:val="auto"/>
        </w:rPr>
      </w:pPr>
    </w:p>
    <w:p>
      <w:pPr>
        <w:ind w:left="4340" w:hanging="876"/>
        <w:spacing w:after="0"/>
        <w:tabs>
          <w:tab w:leader="none" w:pos="4340" w:val="left"/>
        </w:tabs>
        <w:numPr>
          <w:ilvl w:val="2"/>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written representation and undertaking that such nominee, if elected, intends to serve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full term on the Board of Directors.</w:t>
      </w:r>
    </w:p>
    <w:p>
      <w:pPr>
        <w:spacing w:after="0" w:line="193" w:lineRule="exact"/>
        <w:rPr>
          <w:rFonts w:ascii="Times New Roman" w:cs="Times New Roman" w:eastAsia="Times New Roman" w:hAnsi="Times New Roman"/>
          <w:sz w:val="19"/>
          <w:szCs w:val="19"/>
          <w:color w:val="auto"/>
        </w:rPr>
      </w:pPr>
    </w:p>
    <w:p>
      <w:pPr>
        <w:ind w:left="5580" w:hanging="121"/>
        <w:spacing w:after="0"/>
        <w:tabs>
          <w:tab w:leader="none" w:pos="5580" w:val="left"/>
        </w:tabs>
        <w:numPr>
          <w:ilvl w:val="3"/>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5" w:name="page66"/>
    <w:bookmarkEnd w:id="65"/>
    <w:p>
      <w:pPr>
        <w:jc w:val="both"/>
        <w:ind w:left="-8" w:firstLine="2600"/>
        <w:spacing w:after="0" w:line="254" w:lineRule="auto"/>
        <w:tabs>
          <w:tab w:leader="none" w:pos="347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174" w:lineRule="exact"/>
        <w:rPr>
          <w:rFonts w:ascii="Times New Roman" w:cs="Times New Roman" w:eastAsia="Times New Roman" w:hAnsi="Times New Roman"/>
          <w:sz w:val="20"/>
          <w:szCs w:val="20"/>
          <w:color w:val="auto"/>
        </w:rPr>
      </w:pPr>
    </w:p>
    <w:p>
      <w:pPr>
        <w:jc w:val="both"/>
        <w:ind w:left="-8" w:firstLine="2600"/>
        <w:spacing w:after="0" w:line="254" w:lineRule="auto"/>
        <w:tabs>
          <w:tab w:leader="none" w:pos="3529"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will be eligible to be nominated by a stockholder for election as a director of the Company unless nominated in accordance with the procedures set forth in this Section 2.4. No business proposed by a stockholder will be conducted at a stockholder meeting except in accordance with this Section 2.4.</w:t>
      </w:r>
    </w:p>
    <w:p>
      <w:pPr>
        <w:spacing w:after="0" w:line="174" w:lineRule="exact"/>
        <w:rPr>
          <w:rFonts w:ascii="Times New Roman" w:cs="Times New Roman" w:eastAsia="Times New Roman" w:hAnsi="Times New Roman"/>
          <w:sz w:val="20"/>
          <w:szCs w:val="20"/>
          <w:color w:val="auto"/>
        </w:rPr>
      </w:pPr>
    </w:p>
    <w:p>
      <w:pPr>
        <w:jc w:val="both"/>
        <w:ind w:left="-8" w:firstLine="2600"/>
        <w:spacing w:after="0" w:line="249" w:lineRule="auto"/>
        <w:tabs>
          <w:tab w:leader="none" w:pos="351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79" w:lineRule="exact"/>
        <w:rPr>
          <w:rFonts w:ascii="Times New Roman" w:cs="Times New Roman" w:eastAsia="Times New Roman" w:hAnsi="Times New Roman"/>
          <w:sz w:val="20"/>
          <w:szCs w:val="20"/>
          <w:color w:val="auto"/>
        </w:rPr>
      </w:pPr>
    </w:p>
    <w:p>
      <w:pPr>
        <w:jc w:val="both"/>
        <w:ind w:left="-8" w:firstLine="2600"/>
        <w:spacing w:after="0" w:line="243" w:lineRule="auto"/>
        <w:tabs>
          <w:tab w:leader="none" w:pos="346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89" w:lineRule="exact"/>
        <w:rPr>
          <w:rFonts w:ascii="Times New Roman" w:cs="Times New Roman" w:eastAsia="Times New Roman" w:hAnsi="Times New Roman"/>
          <w:sz w:val="20"/>
          <w:szCs w:val="20"/>
          <w:color w:val="auto"/>
        </w:rPr>
      </w:pPr>
    </w:p>
    <w:p>
      <w:pPr>
        <w:jc w:val="both"/>
        <w:ind w:left="-8" w:firstLine="2600"/>
        <w:spacing w:after="0" w:line="246" w:lineRule="auto"/>
        <w:tabs>
          <w:tab w:leader="none" w:pos="351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84" w:lineRule="exact"/>
        <w:rPr>
          <w:rFonts w:ascii="Times New Roman" w:cs="Times New Roman" w:eastAsia="Times New Roman" w:hAnsi="Times New Roman"/>
          <w:sz w:val="20"/>
          <w:szCs w:val="20"/>
          <w:color w:val="auto"/>
        </w:rPr>
      </w:pPr>
    </w:p>
    <w:p>
      <w:pPr>
        <w:jc w:val="both"/>
        <w:ind w:left="-8" w:firstLine="2600"/>
        <w:spacing w:after="0" w:line="254" w:lineRule="auto"/>
        <w:tabs>
          <w:tab w:leader="none" w:pos="357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2.4, the notice requirements set forth in these bylaws with respect to the proposal of any business pursuant to this Section 2.4 will be deemed to be satisfied by a stockholder if</w:t>
      </w:r>
    </w:p>
    <w:p>
      <w:pPr>
        <w:spacing w:after="0" w:line="1" w:lineRule="exact"/>
        <w:rPr>
          <w:rFonts w:ascii="Times New Roman" w:cs="Times New Roman" w:eastAsia="Times New Roman" w:hAnsi="Times New Roman"/>
          <w:sz w:val="20"/>
          <w:szCs w:val="20"/>
          <w:color w:val="auto"/>
        </w:rPr>
      </w:pPr>
    </w:p>
    <w:p>
      <w:pPr>
        <w:jc w:val="both"/>
        <w:ind w:left="-8" w:firstLine="8"/>
        <w:spacing w:after="0" w:line="235" w:lineRule="exact"/>
        <w:tabs>
          <w:tab w:leader="none" w:pos="27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stockholder has submitted a proposal to the Company in compliance with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87" w:lineRule="exact"/>
        <w:rPr>
          <w:rFonts w:ascii="Times New Roman" w:cs="Times New Roman" w:eastAsia="Times New Roman" w:hAnsi="Times New Roman"/>
          <w:sz w:val="20"/>
          <w:szCs w:val="20"/>
          <w:color w:val="auto"/>
        </w:rPr>
      </w:pPr>
    </w:p>
    <w:p>
      <w:pPr>
        <w:ind w:left="5572" w:hanging="121"/>
        <w:spacing w:after="0"/>
        <w:tabs>
          <w:tab w:leader="none" w:pos="5572"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66" w:name="page67"/>
    <w:bookmarkEnd w:id="66"/>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NOTICE OF STOCKHOLDERS’ MEETINGS</w:t>
      </w:r>
    </w:p>
    <w:p>
      <w:pPr>
        <w:spacing w:after="0" w:line="21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8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QUORUM</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85"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85"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ADJOURNED MEETING; NOTICE</w:t>
      </w:r>
    </w:p>
    <w:p>
      <w:pPr>
        <w:spacing w:after="0" w:line="21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CONDUCT OF BUSINESS</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8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VOTING</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4"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Except as may be otherwise provided in the certificate of incorporation or these bylaws, each stockholder shall be entitled to one vote for each share of capital stock held by such stockholder.</w:t>
      </w:r>
    </w:p>
    <w:p>
      <w:pPr>
        <w:spacing w:after="0" w:line="159"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cast, affirmatively or negatively, shall be the act of the stockholders and broker non-votes and abstentions will be considered for purposes of establishing a quorum, but will not be considered as votes cast for or against a proposal.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cast, affirmatively or negatively, at the meeting and entitled to vote on the subject matter shall be the act of such class or series or classes or series (and broker non-votes and abstentions will not be considered as votes cast for or against a proposal), except as otherwise provided by law, the certificate of incorporation, these bylaws or the rules of the stock exchange on which the securities of the Company are listed.</w:t>
      </w:r>
    </w:p>
    <w:p>
      <w:pPr>
        <w:spacing w:after="0" w:line="190"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STOCKHOLDER ACTION BY WRITTEN CONSENT WITHOUT A MEETING</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RECORD DATES</w:t>
      </w:r>
    </w:p>
    <w:p>
      <w:pPr>
        <w:spacing w:after="0" w:line="21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8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4"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5"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4"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20"/>
          <w:szCs w:val="20"/>
          <w:color w:val="auto"/>
        </w:rPr>
        <w:t>PROXIES</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LIST OF STOCKHOLDERS ENTITLED TO VOTE</w:t>
      </w:r>
    </w:p>
    <w:p>
      <w:pPr>
        <w:spacing w:after="0" w:line="216"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The Company shall prepare, at least 10 days before every meeting of stockholders, a complete list of the stockholders entitled to vote at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96"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INSPECTORS OF ELECTION</w:t>
      </w:r>
    </w:p>
    <w:p>
      <w:pPr>
        <w:spacing w:after="0" w:line="21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Such inspectors shall:</w:t>
      </w:r>
    </w:p>
    <w:p>
      <w:pPr>
        <w:spacing w:after="0" w:line="216" w:lineRule="exact"/>
        <w:rPr>
          <w:sz w:val="20"/>
          <w:szCs w:val="20"/>
          <w:color w:val="auto"/>
        </w:rPr>
      </w:pPr>
    </w:p>
    <w:p>
      <w:pPr>
        <w:ind w:left="2600" w:hanging="865"/>
        <w:spacing w:after="0"/>
        <w:tabs>
          <w:tab w:leader="none" w:pos="26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ascertain the number of shares outstanding and the voting power of each;</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shares represented at the meeting and the validity of proxies and ballots;</w:t>
      </w:r>
    </w:p>
    <w:p>
      <w:pPr>
        <w:spacing w:after="0" w:line="215"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 all votes and ballots;</w:t>
      </w:r>
    </w:p>
    <w:p>
      <w:pPr>
        <w:spacing w:after="0" w:line="215" w:lineRule="exact"/>
        <w:rPr>
          <w:rFonts w:ascii="Times New Roman" w:cs="Times New Roman" w:eastAsia="Times New Roman" w:hAnsi="Times New Roman"/>
          <w:sz w:val="20"/>
          <w:szCs w:val="20"/>
          <w:color w:val="auto"/>
        </w:rPr>
      </w:pPr>
    </w:p>
    <w:p>
      <w:pPr>
        <w:ind w:right="20" w:firstLine="1735"/>
        <w:spacing w:after="0" w:line="269" w:lineRule="auto"/>
        <w:tabs>
          <w:tab w:leader="none" w:pos="26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and retain for a reasonable period a record of the disposition of any challenges made to any determination by the inspectors; and</w:t>
      </w:r>
    </w:p>
    <w:p>
      <w:pPr>
        <w:spacing w:after="0" w:line="159"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 their determination of the number of shares represented at the meeting, and their count of all votes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ballots.</w:t>
      </w:r>
    </w:p>
    <w:p>
      <w:pPr>
        <w:spacing w:after="0" w:line="19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facts stated therein.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ARTICLE III - DIRECTORS</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POWERS</w:t>
      </w:r>
    </w:p>
    <w:p>
      <w:pPr>
        <w:spacing w:after="0" w:line="21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The business and affairs of the Company shall be managed by or under the direction of the Board of Directors, except as may be otherwise provided in the DGCL or the certificate of incorporation.</w:t>
      </w:r>
    </w:p>
    <w:p>
      <w:pPr>
        <w:spacing w:after="0" w:line="15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NUMBER OF DIRECTORS</w:t>
      </w:r>
    </w:p>
    <w:p>
      <w:pPr>
        <w:spacing w:after="0" w:line="216"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8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ELECTION, QUALIFICATION AND TERM OF OFFICE OF DIRECTORS</w:t>
      </w:r>
    </w:p>
    <w:p>
      <w:pPr>
        <w:spacing w:after="0" w:line="216"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If so provided in the certificate of incorporation, the directors of the Company shall be divided into three classes.</w:t>
      </w:r>
    </w:p>
    <w:p>
      <w:pPr>
        <w:spacing w:after="0" w:line="21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RESIGNATION AND VACANCIES</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1" w:name="page72"/>
    <w:bookmarkEnd w:id="71"/>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PLACE OF MEETINGS; MEETINGS BY TELEPHONE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Board of Directors may hold meetings, both regular and special, either within or outside the State of Delaware.</w:t>
      </w:r>
    </w:p>
    <w:p>
      <w:pPr>
        <w:spacing w:after="0" w:line="216" w:lineRule="exact"/>
        <w:rPr>
          <w:sz w:val="20"/>
          <w:szCs w:val="20"/>
          <w:color w:val="auto"/>
        </w:rPr>
      </w:pPr>
    </w:p>
    <w:p>
      <w:pPr>
        <w:jc w:val="both"/>
        <w:ind w:firstLine="864"/>
        <w:spacing w:after="0" w:line="274" w:lineRule="auto"/>
        <w:rPr>
          <w:sz w:val="20"/>
          <w:szCs w:val="20"/>
          <w:color w:val="auto"/>
        </w:rPr>
      </w:pPr>
      <w:r>
        <w:rPr>
          <w:rFonts w:ascii="Times New Roman" w:cs="Times New Roman" w:eastAsia="Times New Roman" w:hAnsi="Times New Roman"/>
          <w:sz w:val="19"/>
          <w:szCs w:val="19"/>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5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color w:val="auto"/>
        </w:rPr>
        <w:t>REGULAR MEETINGS</w:t>
      </w:r>
    </w:p>
    <w:p>
      <w:pPr>
        <w:spacing w:after="0" w:line="216"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Regular meetings of the Board of Directors may be held without notice at such time and at such place as shall from time to time be determined by the Board of Directors.</w:t>
      </w:r>
    </w:p>
    <w:p>
      <w:pPr>
        <w:spacing w:after="0" w:line="15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color w:val="auto"/>
        </w:rPr>
        <w:t>SPECIAL MEETINGS; NOTICE</w:t>
      </w:r>
    </w:p>
    <w:p>
      <w:pPr>
        <w:spacing w:after="0" w:line="21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Notice of the time and place of special meetings shall be:</w:t>
      </w:r>
    </w:p>
    <w:p>
      <w:pPr>
        <w:spacing w:after="0" w:line="216" w:lineRule="exact"/>
        <w:rPr>
          <w:sz w:val="20"/>
          <w:szCs w:val="20"/>
          <w:color w:val="auto"/>
        </w:rPr>
      </w:pPr>
    </w:p>
    <w:p>
      <w:pPr>
        <w:ind w:left="2600" w:hanging="865"/>
        <w:spacing w:after="0"/>
        <w:tabs>
          <w:tab w:leader="none" w:pos="26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personally by hand, by courier or by telephone;</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United States first-class mail, postage prepaid;</w:t>
      </w:r>
    </w:p>
    <w:p>
      <w:pPr>
        <w:spacing w:after="0" w:line="215"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facsimile;</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electronic mail; or</w:t>
      </w:r>
    </w:p>
    <w:p>
      <w:pPr>
        <w:spacing w:after="0" w:line="215"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given by electronic transmission (as defined in Section 232 of the DGCL),</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If the notice is (i) delivered personally by hand, by courier or by telephone, (ii) sent by facsimile, (iii) sent by electronic mail or</w:t>
      </w:r>
    </w:p>
    <w:p>
      <w:pPr>
        <w:spacing w:after="0" w:line="22" w:lineRule="exact"/>
        <w:rPr>
          <w:sz w:val="20"/>
          <w:szCs w:val="20"/>
          <w:color w:val="auto"/>
        </w:rPr>
      </w:pPr>
    </w:p>
    <w:p>
      <w:pPr>
        <w:jc w:val="both"/>
        <w:ind w:firstLine="8"/>
        <w:spacing w:after="0" w:line="241" w:lineRule="auto"/>
        <w:tabs>
          <w:tab w:leader="none" w:pos="35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86"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color w:val="auto"/>
        </w:rPr>
        <w:t>QUORUM; VOTING</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4"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5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8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color w:val="auto"/>
        </w:rPr>
        <w:t>BOARD ACTION BY WRITTEN CONSENT WITHOUT A MEETING</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86"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19"/>
          <w:szCs w:val="19"/>
          <w:color w:val="auto"/>
        </w:rPr>
        <w:t>FEES AND COMPENSATION OF DIRECTORS</w:t>
      </w:r>
    </w:p>
    <w:p>
      <w:pPr>
        <w:spacing w:after="0" w:line="21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the Board of Directors shall have the authority to fix the compensation of directors.</w:t>
      </w:r>
    </w:p>
    <w:p>
      <w:pPr>
        <w:spacing w:after="0" w:line="159"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REMOVAL OF DIRECTORS</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p>
      <w:pPr>
        <w:ind w:left="4260"/>
        <w:spacing w:after="0"/>
        <w:rPr>
          <w:sz w:val="20"/>
          <w:szCs w:val="20"/>
          <w:color w:val="auto"/>
        </w:rPr>
      </w:pPr>
      <w:r>
        <w:rPr>
          <w:rFonts w:ascii="Times New Roman" w:cs="Times New Roman" w:eastAsia="Times New Roman" w:hAnsi="Times New Roman"/>
          <w:sz w:val="20"/>
          <w:szCs w:val="20"/>
          <w:b w:val="1"/>
          <w:bCs w:val="1"/>
          <w:color w:val="auto"/>
        </w:rPr>
        <w:t>ARTICLE IV - COMMITTEES</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COMMITTEES OF DIRECTORS</w:t>
      </w:r>
    </w:p>
    <w:p>
      <w:pPr>
        <w:spacing w:after="0" w:line="216"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9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COMMITTEE MINUTES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Each committee and subcommittee shall keep regular minutes of its meetings.</w:t>
      </w:r>
    </w:p>
    <w:p>
      <w:pPr>
        <w:spacing w:after="0" w:line="21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color w:val="auto"/>
        </w:rPr>
        <w:t>MEETINGS AND ACTION OF COMMITTEES</w:t>
      </w:r>
    </w:p>
    <w:p>
      <w:pPr>
        <w:spacing w:after="0" w:line="21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Meetings and actions of committees and subcommittees shall be governed by, and held and taken in accordance with, the provisions of:</w:t>
      </w:r>
    </w:p>
    <w:p>
      <w:pPr>
        <w:spacing w:after="0" w:line="159" w:lineRule="exact"/>
        <w:rPr>
          <w:sz w:val="20"/>
          <w:szCs w:val="20"/>
          <w:color w:val="auto"/>
        </w:rPr>
      </w:pPr>
    </w:p>
    <w:p>
      <w:pPr>
        <w:ind w:left="2600" w:hanging="865"/>
        <w:spacing w:after="0"/>
        <w:tabs>
          <w:tab w:leader="none" w:pos="26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3.5 (place of meetings and meetings by telephone);</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3.6 (regular meetings);</w:t>
      </w:r>
    </w:p>
    <w:p>
      <w:pPr>
        <w:spacing w:after="0" w:line="215"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3.7 (special meetings and notice);</w:t>
      </w:r>
    </w:p>
    <w:p>
      <w:pPr>
        <w:spacing w:after="0" w:line="215" w:lineRule="exact"/>
        <w:rPr>
          <w:rFonts w:ascii="Times New Roman" w:cs="Times New Roman" w:eastAsia="Times New Roman" w:hAnsi="Times New Roman"/>
          <w:sz w:val="20"/>
          <w:szCs w:val="20"/>
          <w:color w:val="auto"/>
        </w:rPr>
      </w:pPr>
    </w:p>
    <w:p>
      <w:pPr>
        <w:ind w:left="2620" w:hanging="885"/>
        <w:spacing w:after="0"/>
        <w:tabs>
          <w:tab w:leader="none" w:pos="26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3.8 (quorum; voting);</w:t>
      </w:r>
    </w:p>
    <w:p>
      <w:pPr>
        <w:spacing w:after="0" w:line="215"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 (action without a meeting); and</w:t>
      </w:r>
    </w:p>
    <w:p>
      <w:pPr>
        <w:spacing w:after="0" w:line="215" w:lineRule="exact"/>
        <w:rPr>
          <w:rFonts w:ascii="Times New Roman" w:cs="Times New Roman" w:eastAsia="Times New Roman" w:hAnsi="Times New Roman"/>
          <w:sz w:val="20"/>
          <w:szCs w:val="20"/>
          <w:color w:val="auto"/>
        </w:rPr>
      </w:pPr>
    </w:p>
    <w:p>
      <w:pPr>
        <w:ind w:left="2580" w:hanging="845"/>
        <w:spacing w:after="0"/>
        <w:tabs>
          <w:tab w:leader="none" w:pos="25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7.4 (waiver of notice)</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with such changes in the context of those bylaws as are necessary to substitute the committee or subcommittee and its members for the Board of Directors and its members.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subcommittee; and (iii) notice of special meetings of committees and subcommittees shall also be given to all alternate members who shall have the right to attend all meetings of the committee or subcommittee. The Board of Directors may adopt rules for the government of any committee not inconsistent with the provisions of these bylaws.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4" w:name="page75"/>
    <w:bookmarkEnd w:id="74"/>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7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SUBCOMMITTEES</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 - OFFICERS</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OFFICERS</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5"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APPOINTMENT OF OFFICERS</w:t>
      </w:r>
    </w:p>
    <w:p>
      <w:pPr>
        <w:spacing w:after="0" w:line="216"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5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SUBORDINATE OFFICERS</w:t>
      </w:r>
    </w:p>
    <w:p>
      <w:pPr>
        <w:spacing w:after="0" w:line="216" w:lineRule="exact"/>
        <w:rPr>
          <w:sz w:val="20"/>
          <w:szCs w:val="20"/>
          <w:color w:val="auto"/>
        </w:rPr>
      </w:pPr>
    </w:p>
    <w:p>
      <w:pPr>
        <w:jc w:val="both"/>
        <w:ind w:firstLine="864"/>
        <w:spacing w:after="0" w:line="274" w:lineRule="auto"/>
        <w:rPr>
          <w:sz w:val="20"/>
          <w:szCs w:val="20"/>
          <w:color w:val="auto"/>
        </w:rPr>
      </w:pPr>
      <w:r>
        <w:rPr>
          <w:rFonts w:ascii="Times New Roman" w:cs="Times New Roman" w:eastAsia="Times New Roman" w:hAnsi="Times New Roman"/>
          <w:sz w:val="19"/>
          <w:szCs w:val="19"/>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5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color w:val="auto"/>
        </w:rPr>
        <w:t>REMOVAL AND RESIGNATION OF OFFICERS</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74"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color w:val="auto"/>
        </w:rPr>
        <w:t>VACANCIES IN OFFICES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Any vacancy occurring in any office of the Company shall be filled by the Board of Directors or as provided in Section 5.3.</w:t>
      </w:r>
    </w:p>
    <w:p>
      <w:pPr>
        <w:spacing w:after="0" w:line="21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color w:val="auto"/>
        </w:rPr>
        <w:t>REPRESENTATION OF SECURITIES OF OTHER ENTITIES</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color w:val="auto"/>
        </w:rPr>
        <w:t>AUTHORITY AND DUTIES OF OFFICERS</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All officers of the Company shall respectively have such authority and perform such duties in the management of the business of the Company as may be designated from time to time by the Board of Directors and, to the extent not so provided, as generally pertain to their respective offices, subject to the control of the Board of Directors.</w:t>
      </w:r>
    </w:p>
    <w:p>
      <w:pPr>
        <w:spacing w:after="0" w:line="27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ARTICLE VI - STOCK</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STOCK CERTIFICATES; PARTLY PAID SHARES</w:t>
      </w:r>
    </w:p>
    <w:p>
      <w:pPr>
        <w:spacing w:after="0" w:line="21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8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SPECIAL DESIGNATION ON CERTIFICATES</w:t>
      </w:r>
    </w:p>
    <w:p>
      <w:pPr>
        <w:spacing w:after="0" w:line="216"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LOST CERTIFICATES</w:t>
      </w:r>
    </w:p>
    <w:p>
      <w:pPr>
        <w:spacing w:after="0" w:line="21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color w:val="auto"/>
        </w:rPr>
        <w:t>DIVIDENDS</w:t>
      </w:r>
    </w:p>
    <w:p>
      <w:pPr>
        <w:spacing w:after="0" w:line="216"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8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color w:val="auto"/>
        </w:rPr>
        <w:t>TRANSFER OF STOCK</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color w:val="auto"/>
        </w:rPr>
        <w:t>STOCK TRANSFER AGREEMENTS</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7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color w:val="auto"/>
        </w:rPr>
        <w:t>REGISTERED STOCKHOLDERS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Company:</w:t>
      </w:r>
    </w:p>
    <w:p>
      <w:pPr>
        <w:spacing w:after="0" w:line="216" w:lineRule="exact"/>
        <w:rPr>
          <w:sz w:val="20"/>
          <w:szCs w:val="20"/>
          <w:color w:val="auto"/>
        </w:rPr>
      </w:pPr>
    </w:p>
    <w:p>
      <w:pPr>
        <w:ind w:firstLine="1735"/>
        <w:spacing w:after="0" w:line="269" w:lineRule="auto"/>
        <w:tabs>
          <w:tab w:leader="none" w:pos="259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entitled to recognize the exclusive right of a person registered on its books as the owner of shares to receive dividends and notices and to vote as such owner; and</w:t>
      </w:r>
    </w:p>
    <w:p>
      <w:pPr>
        <w:spacing w:after="0" w:line="159" w:lineRule="exact"/>
        <w:rPr>
          <w:rFonts w:ascii="Times New Roman" w:cs="Times New Roman" w:eastAsia="Times New Roman" w:hAnsi="Times New Roman"/>
          <w:sz w:val="20"/>
          <w:szCs w:val="20"/>
          <w:color w:val="auto"/>
        </w:rPr>
      </w:pPr>
    </w:p>
    <w:p>
      <w:pPr>
        <w:ind w:right="20" w:firstLine="1735"/>
        <w:spacing w:after="0" w:line="269" w:lineRule="auto"/>
        <w:tabs>
          <w:tab w:leader="none" w:pos="26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6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ARTICLE VII - MANNER OF GIVING NOTICE AND WAIVER</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NOTICE OF STOCKHOLDERS’ MEETINGS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Notice of any meeting of stockholders shall be given in the manner set forth in the DGCL.</w:t>
      </w:r>
    </w:p>
    <w:p>
      <w:pPr>
        <w:spacing w:after="0" w:line="21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NOTICE TO STOCKHOLDERS SHARING AN ADDRESS</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8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NOTICE TO PERSON WITH WHOM COMMUNICATION IS UNLAWFUL</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8" w:name="page79"/>
    <w:bookmarkEnd w:id="78"/>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color w:val="auto"/>
        </w:rPr>
        <w:t>WAIVER OF NOTICE</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 - INDEMNIFICATION</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color w:val="auto"/>
        </w:rPr>
        <w:t>INDEMNIFICATION OF DIRECTORS AND OFFICERS IN THIRD PARTY PROCEEDINGS</w:t>
      </w:r>
    </w:p>
    <w:p>
      <w:pPr>
        <w:spacing w:after="0" w:line="216"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8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8.2 INDEMNIFICATION OF DIRECTORS AND OFFICERS IN ACTIONS BY OR IN THE RIGHT OF THE COMPANY</w:t>
      </w:r>
    </w:p>
    <w:p>
      <w:pPr>
        <w:spacing w:after="0" w:line="200" w:lineRule="exact"/>
        <w:rPr>
          <w:sz w:val="20"/>
          <w:szCs w:val="20"/>
          <w:color w:val="auto"/>
        </w:rPr>
      </w:pPr>
    </w:p>
    <w:p>
      <w:pPr>
        <w:spacing w:after="0" w:line="232"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9" w:name="page80"/>
    <w:bookmarkEnd w:id="79"/>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color w:val="auto"/>
        </w:rPr>
        <w:t>SUCCESSFUL DEFENSE</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18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color w:val="auto"/>
        </w:rPr>
        <w:t>INDEMNIFICATION OF OTHERS</w:t>
      </w:r>
    </w:p>
    <w:p>
      <w:pPr>
        <w:spacing w:after="0" w:line="216"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8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color w:val="auto"/>
        </w:rPr>
        <w:t>ADVANCED PAYMENT OF EXPENSES</w:t>
      </w:r>
    </w:p>
    <w:p>
      <w:pPr>
        <w:spacing w:after="0" w:line="216"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92"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0" w:name="page81"/>
    <w:bookmarkEnd w:id="80"/>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color w:val="auto"/>
        </w:rPr>
        <w:t>LIMITATION ON INDEMNIFICATION</w:t>
      </w:r>
    </w:p>
    <w:p>
      <w:pPr>
        <w:spacing w:after="0" w:line="216"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Subject to the requirements in Section 8.3 and the DGCL, the Company shall not be obligated to indemnify any person pursuant to this Article VIII in connection with any Proceeding (or any part of any Proceeding):</w:t>
      </w:r>
    </w:p>
    <w:p>
      <w:pPr>
        <w:spacing w:after="0" w:line="159" w:lineRule="exact"/>
        <w:rPr>
          <w:sz w:val="20"/>
          <w:szCs w:val="20"/>
          <w:color w:val="auto"/>
        </w:rPr>
      </w:pPr>
    </w:p>
    <w:p>
      <w:pPr>
        <w:ind w:firstLine="1735"/>
        <w:spacing w:after="0" w:line="269" w:lineRule="auto"/>
        <w:tabs>
          <w:tab w:leader="none" w:pos="259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such person under any statute, insurance policy, indemnity provision, vote or otherwise, except with respect to any excess beyond the amount paid;</w:t>
      </w:r>
    </w:p>
    <w:p>
      <w:pPr>
        <w:spacing w:after="0" w:line="159"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0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74" w:lineRule="exact"/>
        <w:rPr>
          <w:rFonts w:ascii="Times New Roman" w:cs="Times New Roman" w:eastAsia="Times New Roman" w:hAnsi="Times New Roman"/>
          <w:sz w:val="20"/>
          <w:szCs w:val="20"/>
          <w:color w:val="auto"/>
        </w:rPr>
      </w:pPr>
    </w:p>
    <w:p>
      <w:pPr>
        <w:jc w:val="both"/>
        <w:ind w:firstLine="1735"/>
        <w:spacing w:after="0" w:line="245" w:lineRule="auto"/>
        <w:tabs>
          <w:tab w:leader="none" w:pos="259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 w:cs="Times New Roman" w:eastAsia="Times New Roman" w:hAnsi="Times New Roman"/>
          <w:sz w:val="20"/>
          <w:szCs w:val="20"/>
          <w:b w:val="1"/>
          <w:bCs w:val="1"/>
          <w:color w:val="auto"/>
        </w:rPr>
        <w:t>Sarbanes-Oxley Act</w:t>
      </w:r>
      <w:r>
        <w:rPr>
          <w:rFonts w:ascii="Times New Roman" w:cs="Times New Roman" w:eastAsia="Times New Roman" w:hAnsi="Times New Roman"/>
          <w:sz w:val="20"/>
          <w:szCs w:val="20"/>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84" w:lineRule="exact"/>
        <w:rPr>
          <w:rFonts w:ascii="Times New Roman" w:cs="Times New Roman" w:eastAsia="Times New Roman" w:hAnsi="Times New Roman"/>
          <w:sz w:val="20"/>
          <w:szCs w:val="20"/>
          <w:color w:val="auto"/>
        </w:rPr>
      </w:pPr>
    </w:p>
    <w:p>
      <w:pPr>
        <w:jc w:val="both"/>
        <w:ind w:firstLine="1735"/>
        <w:spacing w:after="0" w:line="246" w:lineRule="auto"/>
        <w:tabs>
          <w:tab w:leader="none" w:pos="260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84"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prohibited by applicable law.</w:t>
      </w:r>
    </w:p>
    <w:p>
      <w:pPr>
        <w:spacing w:after="0" w:line="216"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color w:val="auto"/>
        </w:rPr>
        <w:t>DETERMINATION; CLAIM</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color w:val="auto"/>
        </w:rPr>
        <w:t>NON-EXCLUSIVITY OF RIGHTS</w:t>
      </w:r>
    </w:p>
    <w:p>
      <w:pPr>
        <w:spacing w:after="0" w:line="21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19"/>
          <w:szCs w:val="19"/>
          <w:color w:val="auto"/>
        </w:rPr>
        <w:t>INSURANCE</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85"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8.10</w:t>
      </w:r>
      <w:r>
        <w:rPr>
          <w:sz w:val="20"/>
          <w:szCs w:val="20"/>
          <w:color w:val="auto"/>
        </w:rPr>
        <w:tab/>
      </w:r>
      <w:r>
        <w:rPr>
          <w:rFonts w:ascii="Times New Roman" w:cs="Times New Roman" w:eastAsia="Times New Roman" w:hAnsi="Times New Roman"/>
          <w:sz w:val="18"/>
          <w:szCs w:val="18"/>
          <w:color w:val="auto"/>
        </w:rPr>
        <w:t>SURVIVAL</w:t>
      </w:r>
    </w:p>
    <w:p>
      <w:pPr>
        <w:spacing w:after="0" w:line="21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59"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19"/>
          <w:szCs w:val="19"/>
          <w:color w:val="auto"/>
        </w:rPr>
        <w:t>EFFECT OF REPEAL OR MODIFICATION</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5" w:lineRule="exact"/>
        <w:rPr>
          <w:sz w:val="20"/>
          <w:szCs w:val="20"/>
          <w:color w:val="auto"/>
        </w:rPr>
      </w:pPr>
    </w:p>
    <w:p>
      <w:pPr>
        <w:ind w:left="880"/>
        <w:spacing w:after="0"/>
        <w:tabs>
          <w:tab w:leader="none" w:pos="1840" w:val="left"/>
        </w:tabs>
        <w:rPr>
          <w:sz w:val="20"/>
          <w:szCs w:val="20"/>
          <w:color w:val="auto"/>
        </w:rPr>
      </w:pPr>
      <w:r>
        <w:rPr>
          <w:rFonts w:ascii="Times New Roman" w:cs="Times New Roman" w:eastAsia="Times New Roman" w:hAnsi="Times New Roman"/>
          <w:sz w:val="20"/>
          <w:szCs w:val="20"/>
          <w:color w:val="auto"/>
        </w:rPr>
        <w:t>8.12</w:t>
      </w:r>
      <w:r>
        <w:rPr>
          <w:sz w:val="20"/>
          <w:szCs w:val="20"/>
          <w:color w:val="auto"/>
        </w:rPr>
        <w:tab/>
      </w:r>
      <w:r>
        <w:rPr>
          <w:rFonts w:ascii="Times New Roman" w:cs="Times New Roman" w:eastAsia="Times New Roman" w:hAnsi="Times New Roman"/>
          <w:sz w:val="19"/>
          <w:szCs w:val="19"/>
          <w:color w:val="auto"/>
        </w:rPr>
        <w:t>CERTAIN DEFINITIONS</w:t>
      </w:r>
    </w:p>
    <w:p>
      <w:pPr>
        <w:spacing w:after="0" w:line="212"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For purposes of this Article VIII, references to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Times New Roman" w:cs="Times New Roman" w:eastAsia="Times New Roman" w:hAnsi="Times New Roman"/>
          <w:sz w:val="20"/>
          <w:szCs w:val="20"/>
          <w:b w:val="1"/>
          <w:bCs w:val="1"/>
          <w:color w:val="auto"/>
        </w:rPr>
        <w:t>other enterprises</w:t>
      </w:r>
      <w:r>
        <w:rPr>
          <w:rFonts w:ascii="Times New Roman" w:cs="Times New Roman" w:eastAsia="Times New Roman" w:hAnsi="Times New Roman"/>
          <w:sz w:val="20"/>
          <w:szCs w:val="20"/>
          <w:color w:val="auto"/>
        </w:rPr>
        <w:t>” shall include employee benefit plans; references to “</w:t>
      </w:r>
      <w:r>
        <w:rPr>
          <w:rFonts w:ascii="Times New Roman" w:cs="Times New Roman" w:eastAsia="Times New Roman" w:hAnsi="Times New Roman"/>
          <w:sz w:val="20"/>
          <w:szCs w:val="20"/>
          <w:b w:val="1"/>
          <w:bCs w:val="1"/>
          <w:color w:val="auto"/>
        </w:rPr>
        <w:t>fines</w:t>
      </w:r>
      <w:r>
        <w:rPr>
          <w:rFonts w:ascii="Times New Roman" w:cs="Times New Roman" w:eastAsia="Times New Roman" w:hAnsi="Times New Roman"/>
          <w:sz w:val="20"/>
          <w:szCs w:val="20"/>
          <w:color w:val="auto"/>
        </w:rPr>
        <w:t>” shall include any excise taxes assessed on a person with respect to an employee benefit plan; and references to “</w:t>
      </w:r>
      <w:r>
        <w:rPr>
          <w:rFonts w:ascii="Times New Roman" w:cs="Times New Roman" w:eastAsia="Times New Roman" w:hAnsi="Times New Roman"/>
          <w:sz w:val="20"/>
          <w:szCs w:val="20"/>
          <w:b w:val="1"/>
          <w:bCs w:val="1"/>
          <w:color w:val="auto"/>
        </w:rPr>
        <w:t>serving at the request of the Company</w:t>
      </w:r>
      <w:r>
        <w:rPr>
          <w:rFonts w:ascii="Times New Roman" w:cs="Times New Roman" w:eastAsia="Times New Roman" w:hAnsi="Times New Roman"/>
          <w:sz w:val="20"/>
          <w:szCs w:val="20"/>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20"/>
          <w:szCs w:val="20"/>
          <w:b w:val="1"/>
          <w:bCs w:val="1"/>
          <w:color w:val="auto"/>
        </w:rPr>
        <w:t>not opposed to the best interests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the Company</w:t>
      </w:r>
      <w:r>
        <w:rPr>
          <w:rFonts w:ascii="Times New Roman" w:cs="Times New Roman" w:eastAsia="Times New Roman" w:hAnsi="Times New Roman"/>
          <w:sz w:val="20"/>
          <w:szCs w:val="20"/>
          <w:color w:val="auto"/>
        </w:rPr>
        <w:t>” as referred to in this Article VIII.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ARTICLE IX - GENERAL MATTERS</w:t>
      </w:r>
    </w:p>
    <w:p>
      <w:pPr>
        <w:spacing w:after="0" w:line="22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EXECUTION OF CORPORATE CONTRACTS AND INSTRUMENTS</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185"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color w:val="auto"/>
        </w:rPr>
        <w:t>FISCAL YEAR</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fiscal year of the Company shall be fixed by resolution of the Board of Directors and may be changed by the Board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w:t>
      </w:r>
    </w:p>
    <w:p>
      <w:pPr>
        <w:spacing w:after="0" w:line="194"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0"/>
          <w:szCs w:val="20"/>
          <w:color w:val="auto"/>
        </w:rPr>
        <w:t>SEAL</w:t>
      </w:r>
    </w:p>
    <w:p>
      <w:pPr>
        <w:spacing w:after="0" w:line="21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5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color w:val="auto"/>
        </w:rPr>
        <w:t>CONSTRUCTION; DEFINITIONS</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includes a company (including, but not limited to, a limited liability company), corporation, partnership, joint venture, trust or other enterprise, and a natural person. Any reference in these bylaws to a section of the DGCL shall be deemed to refer to such section as amended from time to time and any successor provisions thereto.</w:t>
      </w:r>
    </w:p>
    <w:p>
      <w:pPr>
        <w:spacing w:after="0" w:line="185"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color w:val="auto"/>
        </w:rPr>
        <w:t>FORUM SELECTION</w:t>
      </w:r>
    </w:p>
    <w:p>
      <w:pPr>
        <w:spacing w:after="0" w:line="216"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3" w:name="page84"/>
    <w:bookmarkEnd w:id="83"/>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17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 - AMENDMENTS</w:t>
      </w:r>
    </w:p>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of Article III, Article VIII, Section 9.5 of Article IX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54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INVESTORS’ RIGHTS AGREEMENT</w:t>
      </w:r>
    </w:p>
    <w:p>
      <w:pPr>
        <w:spacing w:after="0" w:line="3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May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1414145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60" w:type="dxa"/>
            <w:vAlign w:val="bottom"/>
            <w:gridSpan w:val="2"/>
          </w:tcPr>
          <w:p>
            <w:pPr>
              <w:jc w:val="center"/>
              <w:ind w:right="406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3"/>
        </w:trPr>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7"/>
              </w:rPr>
              <w:t>Page</w:t>
            </w:r>
          </w:p>
        </w:tc>
      </w:tr>
      <w:tr>
        <w:trPr>
          <w:trHeight w:val="351"/>
        </w:trPr>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1.</w:t>
            </w:r>
          </w:p>
        </w:tc>
        <w:tc>
          <w:tcPr>
            <w:tcW w:w="103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Definitions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r>
      <w:tr>
        <w:trPr>
          <w:trHeight w:val="351"/>
        </w:trPr>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2.</w:t>
            </w:r>
          </w:p>
        </w:tc>
        <w:tc>
          <w:tcPr>
            <w:tcW w:w="103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Registration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4"/>
                <w:szCs w:val="24"/>
                <w:color w:val="auto"/>
              </w:rPr>
            </w:pPr>
          </w:p>
        </w:tc>
      </w:tr>
      <w:tr>
        <w:trPr>
          <w:trHeight w:val="322"/>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2.1</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Demand Registration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4"/>
                <w:szCs w:val="24"/>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2.2</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Company Registration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2.3</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Underwriting Requirements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2.4</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Obligations of the Company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2.5</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Furnish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2.6</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Expenses of Registration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2.7</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Delay of Registration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2.8</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Indemnification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2.9</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Reports Under Exchange Act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19"/>
                <w:szCs w:val="19"/>
                <w:color w:val="auto"/>
              </w:rPr>
            </w:pPr>
          </w:p>
        </w:tc>
      </w:tr>
      <w:tr>
        <w:trPr>
          <w:trHeight w:val="212"/>
        </w:trPr>
        <w:tc>
          <w:tcPr>
            <w:tcW w:w="360" w:type="dxa"/>
            <w:vAlign w:val="bottom"/>
          </w:tcPr>
          <w:p>
            <w:pPr>
              <w:spacing w:after="0"/>
              <w:rPr>
                <w:sz w:val="18"/>
                <w:szCs w:val="18"/>
                <w:color w:val="auto"/>
              </w:rPr>
            </w:pPr>
          </w:p>
        </w:tc>
        <w:tc>
          <w:tcPr>
            <w:tcW w:w="680" w:type="dxa"/>
            <w:vAlign w:val="bottom"/>
          </w:tcPr>
          <w:p>
            <w:pPr>
              <w:ind w:left="220"/>
              <w:spacing w:after="0" w:line="211" w:lineRule="exact"/>
              <w:rPr>
                <w:sz w:val="20"/>
                <w:szCs w:val="20"/>
                <w:color w:val="auto"/>
              </w:rPr>
            </w:pPr>
            <w:r>
              <w:rPr>
                <w:rFonts w:ascii="Times New Roman" w:cs="Times New Roman" w:eastAsia="Times New Roman" w:hAnsi="Times New Roman"/>
                <w:sz w:val="20"/>
                <w:szCs w:val="20"/>
                <w:color w:val="auto"/>
              </w:rPr>
              <w:t>2.10</w:t>
            </w:r>
          </w:p>
        </w:tc>
        <w:tc>
          <w:tcPr>
            <w:tcW w:w="9640" w:type="dxa"/>
            <w:vAlign w:val="bottom"/>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Limitations on Subsequent Registration Rights</w:t>
            </w:r>
          </w:p>
        </w:tc>
        <w:tc>
          <w:tcPr>
            <w:tcW w:w="5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18"/>
                <w:szCs w:val="18"/>
                <w:color w:val="auto"/>
              </w:rPr>
            </w:pPr>
          </w:p>
        </w:tc>
      </w:tr>
      <w:tr>
        <w:trPr>
          <w:trHeight w:val="261"/>
        </w:trPr>
        <w:tc>
          <w:tcPr>
            <w:tcW w:w="360" w:type="dxa"/>
            <w:vAlign w:val="bottom"/>
          </w:tcPr>
          <w:p>
            <w:pPr>
              <w:spacing w:after="0"/>
              <w:rPr>
                <w:sz w:val="22"/>
                <w:szCs w:val="22"/>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2.11</w:t>
            </w:r>
          </w:p>
        </w:tc>
        <w:tc>
          <w:tcPr>
            <w:tcW w:w="964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20"/>
                <w:szCs w:val="20"/>
                <w:color w:val="auto"/>
              </w:rPr>
              <w:t>“Market Stand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Agreement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2"/>
                <w:szCs w:val="22"/>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2.12</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Restrictions on Transfer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19"/>
                <w:szCs w:val="19"/>
                <w:color w:val="auto"/>
              </w:rPr>
            </w:pPr>
          </w:p>
        </w:tc>
      </w:tr>
      <w:tr>
        <w:trPr>
          <w:trHeight w:val="258"/>
        </w:trPr>
        <w:tc>
          <w:tcPr>
            <w:tcW w:w="360" w:type="dxa"/>
            <w:vAlign w:val="bottom"/>
          </w:tcPr>
          <w:p>
            <w:pPr>
              <w:spacing w:after="0"/>
              <w:rPr>
                <w:sz w:val="22"/>
                <w:szCs w:val="22"/>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2.13</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Termination of Registration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2"/>
                <w:szCs w:val="22"/>
                <w:color w:val="auto"/>
              </w:rPr>
            </w:pPr>
          </w:p>
        </w:tc>
      </w:tr>
      <w:tr>
        <w:trPr>
          <w:trHeight w:val="351"/>
        </w:trPr>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3.</w:t>
            </w:r>
          </w:p>
        </w:tc>
        <w:tc>
          <w:tcPr>
            <w:tcW w:w="103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Information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4"/>
                <w:szCs w:val="24"/>
                <w:color w:val="auto"/>
              </w:rPr>
            </w:pPr>
          </w:p>
        </w:tc>
      </w:tr>
      <w:tr>
        <w:trPr>
          <w:trHeight w:val="322"/>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3.1</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Delivery of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4"/>
                <w:szCs w:val="24"/>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3.2</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Inspection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3.3</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Termination of Information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19"/>
                <w:szCs w:val="19"/>
                <w:color w:val="auto"/>
              </w:rPr>
            </w:pPr>
          </w:p>
        </w:tc>
      </w:tr>
      <w:tr>
        <w:trPr>
          <w:trHeight w:val="258"/>
        </w:trPr>
        <w:tc>
          <w:tcPr>
            <w:tcW w:w="360" w:type="dxa"/>
            <w:vAlign w:val="bottom"/>
          </w:tcPr>
          <w:p>
            <w:pPr>
              <w:spacing w:after="0"/>
              <w:rPr>
                <w:sz w:val="22"/>
                <w:szCs w:val="22"/>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3.4</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Confidentiality.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2"/>
                <w:szCs w:val="22"/>
                <w:color w:val="auto"/>
              </w:rPr>
            </w:pPr>
          </w:p>
        </w:tc>
      </w:tr>
      <w:tr>
        <w:trPr>
          <w:trHeight w:val="351"/>
        </w:trPr>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4.</w:t>
            </w:r>
          </w:p>
        </w:tc>
        <w:tc>
          <w:tcPr>
            <w:tcW w:w="103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Rights to Future Stock Issuances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4"/>
                <w:szCs w:val="24"/>
                <w:color w:val="auto"/>
              </w:rPr>
            </w:pPr>
          </w:p>
        </w:tc>
      </w:tr>
      <w:tr>
        <w:trPr>
          <w:trHeight w:val="351"/>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4.1</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Right of First Offer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4"/>
                <w:szCs w:val="24"/>
                <w:color w:val="auto"/>
              </w:rPr>
            </w:pPr>
          </w:p>
        </w:tc>
      </w:tr>
      <w:tr>
        <w:trPr>
          <w:trHeight w:val="351"/>
        </w:trPr>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5.</w:t>
            </w:r>
          </w:p>
        </w:tc>
        <w:tc>
          <w:tcPr>
            <w:tcW w:w="103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Additional Covenants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4"/>
                <w:szCs w:val="24"/>
                <w:color w:val="auto"/>
              </w:rPr>
            </w:pPr>
          </w:p>
        </w:tc>
      </w:tr>
      <w:tr>
        <w:trPr>
          <w:trHeight w:val="322"/>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5.1</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4"/>
                <w:szCs w:val="24"/>
                <w:color w:val="auto"/>
              </w:rPr>
            </w:pPr>
          </w:p>
        </w:tc>
      </w:tr>
      <w:tr>
        <w:trPr>
          <w:trHeight w:val="230"/>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5.2</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Employee Agreements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5.3</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Employee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5.4</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Matters Requiring Investor Director Approval</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5.5</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Board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5.6</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Successor Indemnification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5.7</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Indemnification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5.8</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Right to Conduct Activities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19"/>
                <w:szCs w:val="19"/>
                <w:color w:val="auto"/>
              </w:rPr>
            </w:pPr>
          </w:p>
        </w:tc>
      </w:tr>
      <w:tr>
        <w:trPr>
          <w:trHeight w:val="258"/>
        </w:trPr>
        <w:tc>
          <w:tcPr>
            <w:tcW w:w="360" w:type="dxa"/>
            <w:vAlign w:val="bottom"/>
          </w:tcPr>
          <w:p>
            <w:pPr>
              <w:spacing w:after="0"/>
              <w:rPr>
                <w:sz w:val="22"/>
                <w:szCs w:val="22"/>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5.9</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Termination of Covenants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2"/>
                <w:szCs w:val="22"/>
                <w:color w:val="auto"/>
              </w:rPr>
            </w:pPr>
          </w:p>
        </w:tc>
      </w:tr>
      <w:tr>
        <w:trPr>
          <w:trHeight w:val="351"/>
        </w:trPr>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6.</w:t>
            </w:r>
          </w:p>
        </w:tc>
        <w:tc>
          <w:tcPr>
            <w:tcW w:w="103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Miscellaneous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4"/>
                <w:szCs w:val="24"/>
                <w:color w:val="auto"/>
              </w:rPr>
            </w:pPr>
          </w:p>
        </w:tc>
      </w:tr>
      <w:tr>
        <w:trPr>
          <w:trHeight w:val="322"/>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6.1</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Successors and Assigns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4"/>
                <w:szCs w:val="24"/>
                <w:color w:val="auto"/>
              </w:rPr>
            </w:pPr>
          </w:p>
        </w:tc>
      </w:tr>
      <w:tr>
        <w:trPr>
          <w:trHeight w:val="229"/>
        </w:trPr>
        <w:tc>
          <w:tcPr>
            <w:tcW w:w="3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6.2</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19"/>
                <w:szCs w:val="19"/>
                <w:color w:val="auto"/>
              </w:rPr>
            </w:pPr>
          </w:p>
        </w:tc>
      </w:tr>
      <w:tr>
        <w:trPr>
          <w:trHeight w:val="258"/>
        </w:trPr>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6060" w:type="dxa"/>
            <w:vAlign w:val="bottom"/>
            <w:gridSpan w:val="2"/>
          </w:tcPr>
          <w:p>
            <w:pPr>
              <w:jc w:val="center"/>
              <w:ind w:right="4040"/>
              <w:spacing w:after="0"/>
              <w:rPr>
                <w:sz w:val="20"/>
                <w:szCs w:val="20"/>
                <w:color w:val="auto"/>
              </w:rPr>
            </w:pPr>
            <w:r>
              <w:rPr>
                <w:rFonts w:ascii="Times New Roman" w:cs="Times New Roman" w:eastAsia="Times New Roman" w:hAnsi="Times New Roman"/>
                <w:sz w:val="20"/>
                <w:szCs w:val="20"/>
                <w:color w:val="auto"/>
              </w:rPr>
              <w:t>i</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74"/>
        </w:trPr>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6.3</w:t>
            </w: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Counterparts</w:t>
            </w:r>
          </w:p>
        </w:tc>
        <w:tc>
          <w:tcPr>
            <w:tcW w:w="2560" w:type="dxa"/>
            <w:vAlign w:val="bottom"/>
          </w:tcPr>
          <w:p>
            <w:pPr>
              <w:spacing w:after="0"/>
              <w:rPr>
                <w:sz w:val="19"/>
                <w:szCs w:val="19"/>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6.4</w:t>
            </w:r>
          </w:p>
        </w:tc>
        <w:tc>
          <w:tcPr>
            <w:tcW w:w="3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Titles and Subtitles</w:t>
            </w: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30"/>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6.5</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4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6.6</w:t>
            </w:r>
          </w:p>
        </w:tc>
        <w:tc>
          <w:tcPr>
            <w:tcW w:w="3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Amendments and Waivers</w:t>
            </w: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6.7</w:t>
            </w: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2560" w:type="dxa"/>
            <w:vAlign w:val="bottom"/>
          </w:tcPr>
          <w:p>
            <w:pPr>
              <w:spacing w:after="0"/>
              <w:rPr>
                <w:sz w:val="19"/>
                <w:szCs w:val="19"/>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6.8</w:t>
            </w:r>
          </w:p>
        </w:tc>
        <w:tc>
          <w:tcPr>
            <w:tcW w:w="3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Aggregation of Stock</w:t>
            </w: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6.9</w:t>
            </w:r>
          </w:p>
        </w:tc>
        <w:tc>
          <w:tcPr>
            <w:tcW w:w="3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Additional Investors</w:t>
            </w: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6.10</w:t>
            </w:r>
          </w:p>
        </w:tc>
        <w:tc>
          <w:tcPr>
            <w:tcW w:w="3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Entire Agreement</w:t>
            </w: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6.11</w:t>
            </w:r>
          </w:p>
        </w:tc>
        <w:tc>
          <w:tcPr>
            <w:tcW w:w="3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Dispute Resolution</w:t>
            </w: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8"/>
        </w:trPr>
        <w:tc>
          <w:tcPr>
            <w:tcW w:w="10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6.12</w:t>
            </w:r>
          </w:p>
        </w:tc>
        <w:tc>
          <w:tcPr>
            <w:tcW w:w="38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Delays or Omissions</w:t>
            </w:r>
          </w:p>
        </w:tc>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669"/>
        </w:trPr>
        <w:tc>
          <w:tcPr>
            <w:tcW w:w="5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A</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2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Schedule of Investors</w:t>
            </w:r>
          </w:p>
        </w:tc>
        <w:tc>
          <w:tcPr>
            <w:tcW w:w="6400" w:type="dxa"/>
            <w:vAlign w:val="bottom"/>
          </w:tcPr>
          <w:p>
            <w:pPr>
              <w:spacing w:after="0"/>
              <w:rPr>
                <w:sz w:val="24"/>
                <w:szCs w:val="24"/>
                <w:color w:val="auto"/>
              </w:rPr>
            </w:pPr>
          </w:p>
        </w:tc>
      </w:tr>
      <w:tr>
        <w:trPr>
          <w:trHeight w:val="931"/>
        </w:trPr>
        <w:tc>
          <w:tcPr>
            <w:tcW w:w="5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400" w:type="dxa"/>
            <w:vAlign w:val="bottom"/>
          </w:tcPr>
          <w:p>
            <w:pPr>
              <w:jc w:val="right"/>
              <w:ind w:right="5481"/>
              <w:spacing w:after="0"/>
              <w:rPr>
                <w:sz w:val="20"/>
                <w:szCs w:val="20"/>
                <w:color w:val="auto"/>
              </w:rPr>
            </w:pPr>
            <w:r>
              <w:rPr>
                <w:rFonts w:ascii="Times New Roman" w:cs="Times New Roman" w:eastAsia="Times New Roman" w:hAnsi="Times New Roman"/>
                <w:sz w:val="20"/>
                <w:szCs w:val="20"/>
                <w:color w:val="auto"/>
              </w:rPr>
              <w:t>ii</w:t>
            </w:r>
          </w:p>
        </w:tc>
      </w:tr>
      <w:tr>
        <w:trPr>
          <w:trHeight w:val="258"/>
        </w:trPr>
        <w:tc>
          <w:tcPr>
            <w:tcW w:w="58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2560" w:type="dxa"/>
            <w:vAlign w:val="bottom"/>
            <w:tcBorders>
              <w:bottom w:val="single" w:sz="8" w:color="9A9A9A"/>
            </w:tcBorders>
          </w:tcPr>
          <w:p>
            <w:pPr>
              <w:spacing w:after="0"/>
              <w:rPr>
                <w:sz w:val="22"/>
                <w:szCs w:val="22"/>
                <w:color w:val="auto"/>
              </w:rPr>
            </w:pPr>
          </w:p>
        </w:tc>
        <w:tc>
          <w:tcPr>
            <w:tcW w:w="64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INVESTORS’ RIGHTS AGREEMENT</w:t>
      </w:r>
    </w:p>
    <w:p>
      <w:pPr>
        <w:spacing w:after="0" w:line="190"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0"/>
          <w:szCs w:val="20"/>
          <w:color w:val="auto"/>
        </w:rPr>
        <w:t>THIS INVESTORS’ RIGHTS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as of May 29, 2020, by and among Athira Pharma,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each of the investors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each of which is referred to in this Agreement as an “</w:t>
      </w:r>
      <w:r>
        <w:rPr>
          <w:rFonts w:ascii="Times New Roman" w:cs="Times New Roman" w:eastAsia="Times New Roman" w:hAnsi="Times New Roman"/>
          <w:sz w:val="20"/>
          <w:szCs w:val="20"/>
          <w:b w:val="1"/>
          <w:bCs w:val="1"/>
          <w:i w:val="1"/>
          <w:iCs w:val="1"/>
          <w:color w:val="auto"/>
        </w:rPr>
        <w:t>Investor</w:t>
      </w:r>
      <w:r>
        <w:rPr>
          <w:rFonts w:ascii="Times New Roman" w:cs="Times New Roman" w:eastAsia="Times New Roman" w:hAnsi="Times New Roman"/>
          <w:sz w:val="20"/>
          <w:szCs w:val="20"/>
          <w:color w:val="auto"/>
        </w:rPr>
        <w:t>,” each of the stockholders listed on Schedule B hereto, each of whom is referred to herein as a ”</w:t>
      </w:r>
      <w:r>
        <w:rPr>
          <w:rFonts w:ascii="Times New Roman" w:cs="Times New Roman" w:eastAsia="Times New Roman" w:hAnsi="Times New Roman"/>
          <w:sz w:val="20"/>
          <w:szCs w:val="20"/>
          <w:b w:val="1"/>
          <w:bCs w:val="1"/>
          <w:i w:val="1"/>
          <w:iCs w:val="1"/>
          <w:color w:val="auto"/>
        </w:rPr>
        <w:t>Key Holder</w:t>
      </w:r>
      <w:r>
        <w:rPr>
          <w:rFonts w:ascii="Times New Roman" w:cs="Times New Roman" w:eastAsia="Times New Roman" w:hAnsi="Times New Roman"/>
          <w:sz w:val="20"/>
          <w:szCs w:val="20"/>
          <w:color w:val="auto"/>
        </w:rPr>
        <w:t xml:space="preserve">” and any Additional Purchaser (as defined in the Purchase Agreement) that becomes a party to this Agreement in accordance with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16" w:lineRule="exact"/>
        <w:rPr>
          <w:sz w:val="20"/>
          <w:szCs w:val="20"/>
          <w:color w:val="auto"/>
        </w:rPr>
      </w:pPr>
    </w:p>
    <w:p>
      <w:pPr>
        <w:jc w:val="both"/>
        <w:ind w:firstLine="1727"/>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certain of the Investors are parties to the Series B Preferred Stock, Series B-1 Preferred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and Warrant Purchase Agreement of even date herewith (as amended, the “</w:t>
      </w:r>
      <w:r>
        <w:rPr>
          <w:rFonts w:ascii="Times New Roman" w:cs="Times New Roman" w:eastAsia="Times New Roman" w:hAnsi="Times New Roman"/>
          <w:sz w:val="20"/>
          <w:szCs w:val="20"/>
          <w:b w:val="1"/>
          <w:bCs w:val="1"/>
          <w:i w:val="1"/>
          <w:iCs w:val="1"/>
          <w:color w:val="auto"/>
        </w:rPr>
        <w:t>Purchase Agreement</w:t>
      </w:r>
      <w:r>
        <w:rPr>
          <w:rFonts w:ascii="Times New Roman" w:cs="Times New Roman" w:eastAsia="Times New Roman" w:hAnsi="Times New Roman"/>
          <w:sz w:val="20"/>
          <w:szCs w:val="20"/>
          <w:color w:val="auto"/>
        </w:rPr>
        <w:t>”); and</w:t>
      </w:r>
    </w:p>
    <w:p>
      <w:pPr>
        <w:spacing w:after="0" w:line="152"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order to induce the Company to enter into the Purchase Agreement and to induce the Investors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 funds in the Company pursuant to the Purchase Agreement, the Investors, the Key Holders and the Company hereby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hereby agree as follows:</w:t>
      </w:r>
    </w:p>
    <w:p>
      <w:pPr>
        <w:spacing w:after="0" w:line="220" w:lineRule="exact"/>
        <w:rPr>
          <w:sz w:val="20"/>
          <w:szCs w:val="20"/>
          <w:color w:val="auto"/>
        </w:rPr>
      </w:pPr>
    </w:p>
    <w:p>
      <w:pPr>
        <w:ind w:left="1660" w:hanging="788"/>
        <w:spacing w:after="0"/>
        <w:tabs>
          <w:tab w:leader="none" w:pos="16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w:t>
      </w:r>
    </w:p>
    <w:p>
      <w:pPr>
        <w:spacing w:after="0" w:line="212" w:lineRule="exact"/>
        <w:rPr>
          <w:sz w:val="20"/>
          <w:szCs w:val="20"/>
          <w:color w:val="auto"/>
        </w:rPr>
      </w:pPr>
    </w:p>
    <w:p>
      <w:pPr>
        <w:jc w:val="both"/>
        <w:ind w:left="880" w:firstLine="1594"/>
        <w:spacing w:after="0" w:line="247" w:lineRule="auto"/>
        <w:rPr>
          <w:sz w:val="20"/>
          <w:szCs w:val="20"/>
          <w:color w:val="auto"/>
        </w:rPr>
      </w:pPr>
      <w:r>
        <w:rPr>
          <w:rFonts w:ascii="Times New Roman" w:cs="Times New Roman" w:eastAsia="Times New Roman" w:hAnsi="Times New Roman"/>
          <w:sz w:val="20"/>
          <w:szCs w:val="20"/>
          <w:color w:val="auto"/>
        </w:rPr>
        <w:t>1.1 “</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or other investment fund or registered investment company now or hereafter existing that is controlled by one or more general partners, managing members or investment adviser of, or shares the same management company or investment adviser with, such Person.</w:t>
      </w:r>
    </w:p>
    <w:p>
      <w:pPr>
        <w:spacing w:after="0" w:line="180" w:lineRule="exact"/>
        <w:rPr>
          <w:sz w:val="20"/>
          <w:szCs w:val="20"/>
          <w:color w:val="auto"/>
        </w:rPr>
      </w:pPr>
    </w:p>
    <w:p>
      <w:pPr>
        <w:ind w:left="2460"/>
        <w:spacing w:after="0"/>
        <w:tabs>
          <w:tab w:leader="none" w:pos="33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 of Directors</w:t>
      </w:r>
      <w:r>
        <w:rPr>
          <w:rFonts w:ascii="Times New Roman" w:cs="Times New Roman" w:eastAsia="Times New Roman" w:hAnsi="Times New Roman"/>
          <w:sz w:val="19"/>
          <w:szCs w:val="19"/>
          <w:color w:val="auto"/>
        </w:rPr>
        <w:t>” means the board of directors of the Company.</w:t>
      </w:r>
    </w:p>
    <w:p>
      <w:pPr>
        <w:spacing w:after="0" w:line="216" w:lineRule="exact"/>
        <w:rPr>
          <w:sz w:val="20"/>
          <w:szCs w:val="20"/>
          <w:color w:val="auto"/>
        </w:rPr>
      </w:pPr>
    </w:p>
    <w:p>
      <w:pPr>
        <w:jc w:val="both"/>
        <w:ind w:left="880" w:right="20" w:firstLine="1594"/>
        <w:spacing w:after="0" w:line="273" w:lineRule="auto"/>
        <w:rPr>
          <w:sz w:val="20"/>
          <w:szCs w:val="20"/>
          <w:color w:val="auto"/>
        </w:rPr>
      </w:pPr>
      <w:r>
        <w:rPr>
          <w:rFonts w:ascii="Times New Roman" w:cs="Times New Roman" w:eastAsia="Times New Roman" w:hAnsi="Times New Roman"/>
          <w:sz w:val="20"/>
          <w:szCs w:val="20"/>
          <w:color w:val="auto"/>
        </w:rPr>
        <w:t>1.3 “</w:t>
      </w:r>
      <w:r>
        <w:rPr>
          <w:rFonts w:ascii="Times New Roman" w:cs="Times New Roman" w:eastAsia="Times New Roman" w:hAnsi="Times New Roman"/>
          <w:sz w:val="20"/>
          <w:szCs w:val="20"/>
          <w:b w:val="1"/>
          <w:bCs w:val="1"/>
          <w:i w:val="1"/>
          <w:iCs w:val="1"/>
          <w:color w:val="auto"/>
        </w:rPr>
        <w:t>Certificate of Incorporation</w:t>
      </w:r>
      <w:r>
        <w:rPr>
          <w:rFonts w:ascii="Times New Roman" w:cs="Times New Roman" w:eastAsia="Times New Roman" w:hAnsi="Times New Roman"/>
          <w:sz w:val="20"/>
          <w:szCs w:val="20"/>
          <w:color w:val="auto"/>
        </w:rPr>
        <w:t>” means the Company’s Amended and Restated Certificate of Incorporation, as amended and/or restated from time to time.</w:t>
      </w:r>
    </w:p>
    <w:p>
      <w:pPr>
        <w:spacing w:after="0" w:line="152" w:lineRule="exact"/>
        <w:rPr>
          <w:sz w:val="20"/>
          <w:szCs w:val="20"/>
          <w:color w:val="auto"/>
        </w:rPr>
      </w:pPr>
    </w:p>
    <w:p>
      <w:pPr>
        <w:ind w:left="2460"/>
        <w:spacing w:after="0"/>
        <w:tabs>
          <w:tab w:leader="none" w:pos="33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means shares of the Company’s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8" w:name="page89"/>
    <w:bookmarkEnd w:id="88"/>
    <w:p>
      <w:pPr>
        <w:jc w:val="both"/>
        <w:ind w:firstLine="1594"/>
        <w:spacing w:after="0" w:line="244" w:lineRule="auto"/>
        <w:rPr>
          <w:sz w:val="20"/>
          <w:szCs w:val="20"/>
          <w:color w:val="auto"/>
        </w:rPr>
      </w:pPr>
      <w:r>
        <w:rPr>
          <w:rFonts w:ascii="Times New Roman" w:cs="Times New Roman" w:eastAsia="Times New Roman" w:hAnsi="Times New Roman"/>
          <w:sz w:val="20"/>
          <w:szCs w:val="20"/>
          <w:color w:val="auto"/>
        </w:rPr>
        <w:t>1.5 “</w:t>
      </w:r>
      <w:r>
        <w:rPr>
          <w:rFonts w:ascii="Times New Roman" w:cs="Times New Roman" w:eastAsia="Times New Roman" w:hAnsi="Times New Roman"/>
          <w:sz w:val="20"/>
          <w:szCs w:val="20"/>
          <w:b w:val="1"/>
          <w:bCs w:val="1"/>
          <w:i w:val="1"/>
          <w:iCs w:val="1"/>
          <w:color w:val="auto"/>
        </w:rPr>
        <w:t>Competitor</w:t>
      </w:r>
      <w:r>
        <w:rPr>
          <w:rFonts w:ascii="Times New Roman" w:cs="Times New Roman" w:eastAsia="Times New Roman" w:hAnsi="Times New Roman"/>
          <w:sz w:val="20"/>
          <w:szCs w:val="20"/>
          <w:color w:val="auto"/>
        </w:rPr>
        <w:t>” means a Person engaged, directly or indirectly (including through any partnership, limited liability company, corporation, joint venture or similar arrangement (whether now existing or formed hereafter)), in business reasonably deemed to be competitive by the Board of Directors, but shall not include (i)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(ii) Perceptive Life Sciences Master Fund Ltd. (iii) RTW, (iv) Rock Springs Capital Master Fund LP and Four Pines Master Fund LP, and (v) Franklin Strategic Series-Franklin Biotechnology Discovery Fund and Franklin Templeton Investments Funds – Franklin Biotechnology Discovery Fund (collectively, “</w:t>
      </w:r>
      <w:r>
        <w:rPr>
          <w:rFonts w:ascii="Times New Roman" w:cs="Times New Roman" w:eastAsia="Times New Roman" w:hAnsi="Times New Roman"/>
          <w:sz w:val="20"/>
          <w:szCs w:val="20"/>
          <w:b w:val="1"/>
          <w:bCs w:val="1"/>
          <w:i w:val="1"/>
          <w:iCs w:val="1"/>
          <w:color w:val="auto"/>
        </w:rPr>
        <w:t>Franklin</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1594"/>
        <w:spacing w:after="0" w:line="244" w:lineRule="auto"/>
        <w:rPr>
          <w:sz w:val="20"/>
          <w:szCs w:val="20"/>
          <w:color w:val="auto"/>
        </w:rPr>
      </w:pPr>
      <w:r>
        <w:rPr>
          <w:rFonts w:ascii="Times New Roman" w:cs="Times New Roman" w:eastAsia="Times New Roman" w:hAnsi="Times New Roman"/>
          <w:sz w:val="20"/>
          <w:szCs w:val="20"/>
          <w:color w:val="auto"/>
        </w:rPr>
        <w:t>1.6 “</w:t>
      </w:r>
      <w:r>
        <w:rPr>
          <w:rFonts w:ascii="Times New Roman" w:cs="Times New Roman" w:eastAsia="Times New Roman" w:hAnsi="Times New Roman"/>
          <w:sz w:val="20"/>
          <w:szCs w:val="20"/>
          <w:b w:val="1"/>
          <w:bCs w:val="1"/>
          <w:i w:val="1"/>
          <w:iCs w:val="1"/>
          <w:color w:val="auto"/>
        </w:rPr>
        <w:t>Damages</w:t>
      </w:r>
      <w:r>
        <w:rPr>
          <w:rFonts w:ascii="Times New Roman" w:cs="Times New Roman" w:eastAsia="Times New Roman" w:hAnsi="Times New Roman"/>
          <w:sz w:val="20"/>
          <w:szCs w:val="20"/>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2" w:lineRule="exact"/>
        <w:rPr>
          <w:sz w:val="20"/>
          <w:szCs w:val="20"/>
          <w:color w:val="auto"/>
        </w:rPr>
      </w:pPr>
    </w:p>
    <w:p>
      <w:pPr>
        <w:jc w:val="both"/>
        <w:ind w:right="20" w:firstLine="1594"/>
        <w:spacing w:after="0" w:line="273" w:lineRule="auto"/>
        <w:rPr>
          <w:sz w:val="20"/>
          <w:szCs w:val="20"/>
          <w:color w:val="auto"/>
        </w:rPr>
      </w:pPr>
      <w:r>
        <w:rPr>
          <w:rFonts w:ascii="Times New Roman" w:cs="Times New Roman" w:eastAsia="Times New Roman" w:hAnsi="Times New Roman"/>
          <w:sz w:val="20"/>
          <w:szCs w:val="20"/>
          <w:color w:val="auto"/>
        </w:rPr>
        <w:t>1.7 “</w:t>
      </w:r>
      <w:r>
        <w:rPr>
          <w:rFonts w:ascii="Times New Roman" w:cs="Times New Roman" w:eastAsia="Times New Roman" w:hAnsi="Times New Roman"/>
          <w:sz w:val="20"/>
          <w:szCs w:val="20"/>
          <w:b w:val="1"/>
          <w:bCs w:val="1"/>
          <w:i w:val="1"/>
          <w:iCs w:val="1"/>
          <w:color w:val="auto"/>
        </w:rPr>
        <w:t>Derivative Securities</w:t>
      </w:r>
      <w:r>
        <w:rPr>
          <w:rFonts w:ascii="Times New Roman" w:cs="Times New Roman" w:eastAsia="Times New Roman" w:hAnsi="Times New Roman"/>
          <w:sz w:val="20"/>
          <w:szCs w:val="20"/>
          <w:color w:val="auto"/>
        </w:rPr>
        <w:t>” means any securities or rights convertible into, or exercisable or exchangeable for (in each case, directly or indirectly), Common Stock, including options and warrants.</w:t>
      </w:r>
    </w:p>
    <w:p>
      <w:pPr>
        <w:spacing w:after="0" w:line="152" w:lineRule="exact"/>
        <w:rPr>
          <w:sz w:val="20"/>
          <w:szCs w:val="20"/>
          <w:color w:val="auto"/>
        </w:rPr>
      </w:pPr>
    </w:p>
    <w:p>
      <w:pPr>
        <w:jc w:val="both"/>
        <w:ind w:firstLine="1594"/>
        <w:spacing w:after="0" w:line="273" w:lineRule="auto"/>
        <w:rPr>
          <w:sz w:val="20"/>
          <w:szCs w:val="20"/>
          <w:color w:val="auto"/>
        </w:rPr>
      </w:pPr>
      <w:r>
        <w:rPr>
          <w:rFonts w:ascii="Times New Roman" w:cs="Times New Roman" w:eastAsia="Times New Roman" w:hAnsi="Times New Roman"/>
          <w:sz w:val="20"/>
          <w:szCs w:val="20"/>
          <w:color w:val="auto"/>
        </w:rPr>
        <w:t>1.8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152" w:lineRule="exact"/>
        <w:rPr>
          <w:sz w:val="20"/>
          <w:szCs w:val="20"/>
          <w:color w:val="auto"/>
        </w:rPr>
      </w:pPr>
    </w:p>
    <w:p>
      <w:pPr>
        <w:jc w:val="both"/>
        <w:ind w:firstLine="1594"/>
        <w:spacing w:after="0" w:line="246" w:lineRule="auto"/>
        <w:rPr>
          <w:sz w:val="20"/>
          <w:szCs w:val="20"/>
          <w:color w:val="auto"/>
        </w:rPr>
      </w:pPr>
      <w:r>
        <w:rPr>
          <w:rFonts w:ascii="Times New Roman" w:cs="Times New Roman" w:eastAsia="Times New Roman" w:hAnsi="Times New Roman"/>
          <w:sz w:val="20"/>
          <w:szCs w:val="20"/>
          <w:color w:val="auto"/>
        </w:rPr>
        <w:t>1.9 “</w:t>
      </w:r>
      <w:r>
        <w:rPr>
          <w:rFonts w:ascii="Times New Roman" w:cs="Times New Roman" w:eastAsia="Times New Roman" w:hAnsi="Times New Roman"/>
          <w:sz w:val="20"/>
          <w:szCs w:val="20"/>
          <w:b w:val="1"/>
          <w:bCs w:val="1"/>
          <w:i w:val="1"/>
          <w:iCs w:val="1"/>
          <w:color w:val="auto"/>
        </w:rPr>
        <w:t>Excluded Registration</w:t>
      </w:r>
      <w:r>
        <w:rPr>
          <w:rFonts w:ascii="Times New Roman" w:cs="Times New Roman" w:eastAsia="Times New Roman" w:hAnsi="Times New Roman"/>
          <w:sz w:val="20"/>
          <w:szCs w:val="20"/>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79" w:lineRule="exact"/>
        <w:rPr>
          <w:sz w:val="20"/>
          <w:szCs w:val="20"/>
          <w:color w:val="auto"/>
        </w:rPr>
      </w:pPr>
    </w:p>
    <w:p>
      <w:pPr>
        <w:jc w:val="both"/>
        <w:ind w:firstLine="1594"/>
        <w:spacing w:after="0" w:line="250" w:lineRule="auto"/>
        <w:rPr>
          <w:sz w:val="20"/>
          <w:szCs w:val="20"/>
          <w:color w:val="auto"/>
        </w:rPr>
      </w:pPr>
      <w:r>
        <w:rPr>
          <w:rFonts w:ascii="Times New Roman" w:cs="Times New Roman" w:eastAsia="Times New Roman" w:hAnsi="Times New Roman"/>
          <w:sz w:val="20"/>
          <w:szCs w:val="20"/>
          <w:color w:val="auto"/>
        </w:rPr>
        <w:t>1.10 “</w:t>
      </w:r>
      <w:r>
        <w:rPr>
          <w:rFonts w:ascii="Times New Roman" w:cs="Times New Roman" w:eastAsia="Times New Roman" w:hAnsi="Times New Roman"/>
          <w:sz w:val="20"/>
          <w:szCs w:val="20"/>
          <w:b w:val="1"/>
          <w:bCs w:val="1"/>
          <w:i w:val="1"/>
          <w:iCs w:val="1"/>
          <w:color w:val="auto"/>
        </w:rPr>
        <w:t>FOIA Party</w:t>
      </w:r>
      <w:r>
        <w:rPr>
          <w:rFonts w:ascii="Times New Roman" w:cs="Times New Roman" w:eastAsia="Times New Roman" w:hAnsi="Times New Roman"/>
          <w:sz w:val="20"/>
          <w:szCs w:val="20"/>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Times New Roman" w:cs="Times New Roman" w:eastAsia="Times New Roman" w:hAnsi="Times New Roman"/>
          <w:sz w:val="20"/>
          <w:szCs w:val="20"/>
          <w:b w:val="1"/>
          <w:bCs w:val="1"/>
          <w:i w:val="1"/>
          <w:iCs w:val="1"/>
          <w:color w:val="auto"/>
        </w:rPr>
        <w:t>FOIA</w:t>
      </w:r>
      <w:r>
        <w:rPr>
          <w:rFonts w:ascii="Times New Roman" w:cs="Times New Roman" w:eastAsia="Times New Roman" w:hAnsi="Times New Roman"/>
          <w:sz w:val="20"/>
          <w:szCs w:val="20"/>
          <w:color w:val="auto"/>
        </w:rPr>
        <w:t>”), any state public records access law, any state or other jurisdiction’s laws similar in intent or effect to FOIA, or any other similar statutory or regulatory requirement.</w:t>
      </w:r>
    </w:p>
    <w:p>
      <w:pPr>
        <w:spacing w:after="0" w:line="162" w:lineRule="exact"/>
        <w:rPr>
          <w:sz w:val="20"/>
          <w:szCs w:val="20"/>
          <w:color w:val="auto"/>
        </w:rPr>
      </w:pPr>
    </w:p>
    <w:p>
      <w:pPr>
        <w:jc w:val="both"/>
        <w:ind w:firstLine="1594"/>
        <w:spacing w:after="0" w:line="256" w:lineRule="exact"/>
        <w:rPr>
          <w:sz w:val="20"/>
          <w:szCs w:val="20"/>
          <w:color w:val="auto"/>
        </w:rPr>
      </w:pPr>
      <w:r>
        <w:rPr>
          <w:rFonts w:ascii="Times New Roman" w:cs="Times New Roman" w:eastAsia="Times New Roman" w:hAnsi="Times New Roman"/>
          <w:sz w:val="20"/>
          <w:szCs w:val="20"/>
          <w:color w:val="auto"/>
        </w:rPr>
        <w:t>1.11 “</w:t>
      </w:r>
      <w:r>
        <w:rPr>
          <w:rFonts w:ascii="Times New Roman" w:cs="Times New Roman" w:eastAsia="Times New Roman" w:hAnsi="Times New Roman"/>
          <w:sz w:val="20"/>
          <w:szCs w:val="20"/>
          <w:b w:val="1"/>
          <w:bCs w:val="1"/>
          <w:i w:val="1"/>
          <w:iCs w:val="1"/>
          <w:color w:val="auto"/>
        </w:rPr>
        <w:t>Form S</w:t>
      </w:r>
      <w:r>
        <w:rPr>
          <w:rFonts w:ascii="MS PGothic" w:cs="MS PGothic" w:eastAsia="MS PGothic" w:hAnsi="MS PGothic"/>
          <w:sz w:val="20"/>
          <w:szCs w:val="20"/>
          <w:i w:val="1"/>
          <w:iCs w:val="1"/>
          <w:color w:val="auto"/>
        </w:rPr>
        <w:t>‑</w:t>
      </w:r>
      <w:r>
        <w:rPr>
          <w:rFonts w:ascii="Times New Roman" w:cs="Times New Roman" w:eastAsia="Times New Roman" w:hAnsi="Times New Roman"/>
          <w:sz w:val="20"/>
          <w:szCs w:val="20"/>
          <w:b w:val="1"/>
          <w:bCs w:val="1"/>
          <w:i w:val="1"/>
          <w:iCs w:val="1"/>
          <w:color w:val="auto"/>
        </w:rPr>
        <w:t>1</w:t>
      </w:r>
      <w:r>
        <w:rPr>
          <w:rFonts w:ascii="Times New Roman" w:cs="Times New Roman" w:eastAsia="Times New Roman" w:hAnsi="Times New Roman"/>
          <w:sz w:val="20"/>
          <w:szCs w:val="20"/>
          <w:color w:val="auto"/>
        </w:rPr>
        <w:t>” means such form under the Securities Act as in effect on the date hereof or any successor registration form under the Securities Act subsequently adopted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-222885</wp:posOffset>
            </wp:positionV>
            <wp:extent cx="4254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42545" cy="15240"/>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68580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45" w:right="339" w:bottom="1440" w:gutter="0" w:footer="0" w:header="0"/>
        </w:sectPr>
      </w:pPr>
    </w:p>
    <w:bookmarkStart w:id="89" w:name="page90"/>
    <w:bookmarkEnd w:id="89"/>
    <w:p>
      <w:pPr>
        <w:jc w:val="both"/>
        <w:ind w:firstLine="1594"/>
        <w:spacing w:after="0" w:line="250" w:lineRule="exact"/>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b w:val="1"/>
          <w:bCs w:val="1"/>
          <w:i w:val="1"/>
          <w:iCs w:val="1"/>
          <w:color w:val="auto"/>
        </w:rPr>
        <w:t>Form S</w:t>
      </w:r>
      <w:r>
        <w:rPr>
          <w:rFonts w:ascii="MS PGothic" w:cs="MS PGothic" w:eastAsia="MS PGothic" w:hAnsi="MS PGothic"/>
          <w:sz w:val="20"/>
          <w:szCs w:val="20"/>
          <w:i w:val="1"/>
          <w:iCs w:val="1"/>
          <w:color w:val="auto"/>
        </w:rPr>
        <w:t>‑</w:t>
      </w:r>
      <w:r>
        <w:rPr>
          <w:rFonts w:ascii="Times New Roman" w:cs="Times New Roman" w:eastAsia="Times New Roman" w:hAnsi="Times New Roman"/>
          <w:sz w:val="20"/>
          <w:szCs w:val="20"/>
          <w:b w:val="1"/>
          <w:bCs w:val="1"/>
          <w:i w:val="1"/>
          <w:iCs w:val="1"/>
          <w:color w:val="auto"/>
        </w:rPr>
        <w:t>3</w:t>
      </w:r>
      <w:r>
        <w:rPr>
          <w:rFonts w:ascii="Times New Roman" w:cs="Times New Roman" w:eastAsia="Times New Roman" w:hAnsi="Times New Roman"/>
          <w:sz w:val="20"/>
          <w:szCs w:val="20"/>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-372745</wp:posOffset>
            </wp:positionV>
            <wp:extent cx="4254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42545" cy="15240"/>
                    </a:xfrm>
                    <a:prstGeom prst="rect">
                      <a:avLst/>
                    </a:prstGeom>
                    <a:noFill/>
                  </pic:spPr>
                </pic:pic>
              </a:graphicData>
            </a:graphic>
          </wp:anchor>
        </w:drawing>
      </w:r>
    </w:p>
    <w:p>
      <w:pPr>
        <w:spacing w:after="0" w:line="164" w:lineRule="exact"/>
        <w:rPr>
          <w:sz w:val="20"/>
          <w:szCs w:val="20"/>
          <w:color w:val="auto"/>
        </w:rPr>
      </w:pPr>
    </w:p>
    <w:p>
      <w:pPr>
        <w:ind w:left="1580"/>
        <w:spacing w:after="0"/>
        <w:tabs>
          <w:tab w:leader="none" w:pos="256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in the United States as in effect from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190" w:lineRule="exact"/>
        <w:rPr>
          <w:sz w:val="20"/>
          <w:szCs w:val="20"/>
          <w:color w:val="auto"/>
        </w:rPr>
      </w:pPr>
    </w:p>
    <w:p>
      <w:pPr>
        <w:ind w:left="1580"/>
        <w:spacing w:after="0"/>
        <w:tabs>
          <w:tab w:leader="none" w:pos="256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Holder</w:t>
      </w:r>
      <w:r>
        <w:rPr>
          <w:rFonts w:ascii="Times New Roman" w:cs="Times New Roman" w:eastAsia="Times New Roman" w:hAnsi="Times New Roman"/>
          <w:sz w:val="19"/>
          <w:szCs w:val="19"/>
          <w:color w:val="auto"/>
        </w:rPr>
        <w:t>” means any holder of Registrable Securities who is a party to this Agreement.</w:t>
      </w:r>
    </w:p>
    <w:p>
      <w:pPr>
        <w:spacing w:after="0" w:line="216" w:lineRule="exact"/>
        <w:rPr>
          <w:sz w:val="20"/>
          <w:szCs w:val="20"/>
          <w:color w:val="auto"/>
        </w:rPr>
      </w:pPr>
    </w:p>
    <w:p>
      <w:pPr>
        <w:jc w:val="both"/>
        <w:ind w:firstLine="1594"/>
        <w:spacing w:after="0" w:line="256" w:lineRule="auto"/>
        <w:rPr>
          <w:sz w:val="20"/>
          <w:szCs w:val="20"/>
          <w:color w:val="auto"/>
        </w:rPr>
      </w:pPr>
      <w:r>
        <w:rPr>
          <w:rFonts w:ascii="Times New Roman" w:cs="Times New Roman" w:eastAsia="Times New Roman" w:hAnsi="Times New Roman"/>
          <w:sz w:val="20"/>
          <w:szCs w:val="20"/>
          <w:color w:val="auto"/>
        </w:rPr>
        <w:t>1.15 “</w:t>
      </w:r>
      <w:r>
        <w:rPr>
          <w:rFonts w:ascii="Times New Roman" w:cs="Times New Roman" w:eastAsia="Times New Roman" w:hAnsi="Times New Roman"/>
          <w:sz w:val="20"/>
          <w:szCs w:val="20"/>
          <w:b w:val="1"/>
          <w:bCs w:val="1"/>
          <w:i w:val="1"/>
          <w:iCs w:val="1"/>
          <w:color w:val="auto"/>
        </w:rPr>
        <w:t>Immediate Family Member</w:t>
      </w:r>
      <w:r>
        <w:rPr>
          <w:rFonts w:ascii="Times New Roman" w:cs="Times New Roman" w:eastAsia="Times New Roman" w:hAnsi="Times New Roman"/>
          <w:sz w:val="20"/>
          <w:szCs w:val="20"/>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69" w:lineRule="exact"/>
        <w:rPr>
          <w:sz w:val="20"/>
          <w:szCs w:val="20"/>
          <w:color w:val="auto"/>
        </w:rPr>
      </w:pPr>
    </w:p>
    <w:p>
      <w:pPr>
        <w:jc w:val="both"/>
        <w:ind w:firstLine="1594"/>
        <w:spacing w:after="0" w:line="273"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b w:val="1"/>
          <w:bCs w:val="1"/>
          <w:i w:val="1"/>
          <w:iCs w:val="1"/>
          <w:color w:val="auto"/>
        </w:rPr>
        <w:t>Independent Director</w:t>
      </w:r>
      <w:r>
        <w:rPr>
          <w:rFonts w:ascii="Times New Roman" w:cs="Times New Roman" w:eastAsia="Times New Roman" w:hAnsi="Times New Roman"/>
          <w:sz w:val="20"/>
          <w:szCs w:val="20"/>
          <w:color w:val="auto"/>
        </w:rPr>
        <w:t>” shall have the meaning set forth in the Voting Agreement dated on or about the date hereof by and among the Company and the signatories thereto, as may be amended from time to time.</w:t>
      </w:r>
    </w:p>
    <w:p>
      <w:pPr>
        <w:spacing w:after="0" w:line="152" w:lineRule="exact"/>
        <w:rPr>
          <w:sz w:val="20"/>
          <w:szCs w:val="20"/>
          <w:color w:val="auto"/>
        </w:rPr>
      </w:pPr>
    </w:p>
    <w:p>
      <w:pPr>
        <w:jc w:val="both"/>
        <w:ind w:right="20" w:firstLine="1594"/>
        <w:spacing w:after="0" w:line="273" w:lineRule="auto"/>
        <w:rPr>
          <w:sz w:val="20"/>
          <w:szCs w:val="20"/>
          <w:color w:val="auto"/>
        </w:rPr>
      </w:pPr>
      <w:r>
        <w:rPr>
          <w:rFonts w:ascii="Times New Roman" w:cs="Times New Roman" w:eastAsia="Times New Roman" w:hAnsi="Times New Roman"/>
          <w:sz w:val="20"/>
          <w:szCs w:val="20"/>
          <w:color w:val="auto"/>
        </w:rPr>
        <w:t>1.17 “</w:t>
      </w:r>
      <w:r>
        <w:rPr>
          <w:rFonts w:ascii="Times New Roman" w:cs="Times New Roman" w:eastAsia="Times New Roman" w:hAnsi="Times New Roman"/>
          <w:sz w:val="20"/>
          <w:szCs w:val="20"/>
          <w:b w:val="1"/>
          <w:bCs w:val="1"/>
          <w:i w:val="1"/>
          <w:iCs w:val="1"/>
          <w:color w:val="auto"/>
        </w:rPr>
        <w:t>Initiating Holders</w:t>
      </w:r>
      <w:r>
        <w:rPr>
          <w:rFonts w:ascii="Times New Roman" w:cs="Times New Roman" w:eastAsia="Times New Roman" w:hAnsi="Times New Roman"/>
          <w:sz w:val="20"/>
          <w:szCs w:val="20"/>
          <w:color w:val="auto"/>
        </w:rPr>
        <w:t>” means, collectively, Holders who properly initiate a registration request under this Agreement.</w:t>
      </w:r>
    </w:p>
    <w:p>
      <w:pPr>
        <w:spacing w:after="0" w:line="152" w:lineRule="exact"/>
        <w:rPr>
          <w:sz w:val="20"/>
          <w:szCs w:val="20"/>
          <w:color w:val="auto"/>
        </w:rPr>
      </w:pPr>
    </w:p>
    <w:p>
      <w:pPr>
        <w:ind w:left="1580"/>
        <w:spacing w:after="0"/>
        <w:tabs>
          <w:tab w:leader="none" w:pos="256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IPO</w:t>
      </w:r>
      <w:r>
        <w:rPr>
          <w:rFonts w:ascii="Times New Roman" w:cs="Times New Roman" w:eastAsia="Times New Roman" w:hAnsi="Times New Roman"/>
          <w:sz w:val="20"/>
          <w:szCs w:val="20"/>
          <w:color w:val="auto"/>
        </w:rPr>
        <w:t>” means the Company’s first underwritten public offering of its Common Stock under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Act.</w:t>
      </w:r>
    </w:p>
    <w:p>
      <w:pPr>
        <w:spacing w:after="0" w:line="190" w:lineRule="exact"/>
        <w:rPr>
          <w:sz w:val="20"/>
          <w:szCs w:val="20"/>
          <w:color w:val="auto"/>
        </w:rPr>
      </w:pPr>
    </w:p>
    <w:p>
      <w:pPr>
        <w:jc w:val="both"/>
        <w:ind w:firstLine="1594"/>
        <w:spacing w:after="0" w:line="256" w:lineRule="auto"/>
        <w:rPr>
          <w:sz w:val="20"/>
          <w:szCs w:val="20"/>
          <w:color w:val="auto"/>
        </w:rPr>
      </w:pPr>
      <w:r>
        <w:rPr>
          <w:rFonts w:ascii="Times New Roman" w:cs="Times New Roman" w:eastAsia="Times New Roman" w:hAnsi="Times New Roman"/>
          <w:sz w:val="20"/>
          <w:szCs w:val="20"/>
          <w:color w:val="auto"/>
        </w:rPr>
        <w:t>1.19 “</w:t>
      </w:r>
      <w:r>
        <w:rPr>
          <w:rFonts w:ascii="Times New Roman" w:cs="Times New Roman" w:eastAsia="Times New Roman" w:hAnsi="Times New Roman"/>
          <w:sz w:val="20"/>
          <w:szCs w:val="20"/>
          <w:b w:val="1"/>
          <w:bCs w:val="1"/>
          <w:i w:val="1"/>
          <w:iCs w:val="1"/>
          <w:color w:val="auto"/>
        </w:rPr>
        <w:t>Key Employee</w:t>
      </w:r>
      <w:r>
        <w:rPr>
          <w:rFonts w:ascii="Times New Roman" w:cs="Times New Roman" w:eastAsia="Times New Roman" w:hAnsi="Times New Roman"/>
          <w:sz w:val="20"/>
          <w:szCs w:val="20"/>
          <w:color w:val="auto"/>
        </w:rPr>
        <w:t>”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69" w:lineRule="exact"/>
        <w:rPr>
          <w:sz w:val="20"/>
          <w:szCs w:val="20"/>
          <w:color w:val="auto"/>
        </w:rPr>
      </w:pPr>
    </w:p>
    <w:p>
      <w:pPr>
        <w:jc w:val="both"/>
        <w:ind w:right="20" w:firstLine="1594"/>
        <w:spacing w:after="0" w:line="256" w:lineRule="auto"/>
        <w:rPr>
          <w:sz w:val="20"/>
          <w:szCs w:val="20"/>
          <w:color w:val="auto"/>
        </w:rPr>
      </w:pPr>
      <w:r>
        <w:rPr>
          <w:rFonts w:ascii="Times New Roman" w:cs="Times New Roman" w:eastAsia="Times New Roman" w:hAnsi="Times New Roman"/>
          <w:sz w:val="20"/>
          <w:szCs w:val="20"/>
          <w:color w:val="auto"/>
        </w:rPr>
        <w:t>1.20 “</w:t>
      </w:r>
      <w:r>
        <w:rPr>
          <w:rFonts w:ascii="Times New Roman" w:cs="Times New Roman" w:eastAsia="Times New Roman" w:hAnsi="Times New Roman"/>
          <w:sz w:val="20"/>
          <w:szCs w:val="20"/>
          <w:b w:val="1"/>
          <w:bCs w:val="1"/>
          <w:i w:val="1"/>
          <w:iCs w:val="1"/>
          <w:color w:val="auto"/>
        </w:rPr>
        <w:t>Key Holder Registrable Securities</w:t>
      </w:r>
      <w:r>
        <w:rPr>
          <w:rFonts w:ascii="Times New Roman" w:cs="Times New Roman" w:eastAsia="Times New Roman" w:hAnsi="Times New Roman"/>
          <w:sz w:val="20"/>
          <w:szCs w:val="20"/>
          <w:color w:val="auto"/>
        </w:rPr>
        <w:t>” means (i) the shares of Common Stock held by the Key Holders, and (ii) any Common Stock issued as (or issuable upon the conversion or exercise of any warrant, right or other security that is issued as) a dividend or other distribution with respect to, or in exchange for or in replacement of such shares.</w:t>
      </w:r>
    </w:p>
    <w:p>
      <w:pPr>
        <w:spacing w:after="0" w:line="169" w:lineRule="exact"/>
        <w:rPr>
          <w:sz w:val="20"/>
          <w:szCs w:val="20"/>
          <w:color w:val="auto"/>
        </w:rPr>
      </w:pPr>
    </w:p>
    <w:p>
      <w:pPr>
        <w:jc w:val="both"/>
        <w:ind w:firstLine="1594"/>
        <w:spacing w:after="0" w:line="256" w:lineRule="auto"/>
        <w:rPr>
          <w:sz w:val="20"/>
          <w:szCs w:val="20"/>
          <w:color w:val="auto"/>
        </w:rPr>
      </w:pPr>
      <w:r>
        <w:rPr>
          <w:rFonts w:ascii="Times New Roman" w:cs="Times New Roman" w:eastAsia="Times New Roman" w:hAnsi="Times New Roman"/>
          <w:sz w:val="20"/>
          <w:szCs w:val="20"/>
          <w:color w:val="auto"/>
        </w:rPr>
        <w:t>1.21 “</w:t>
      </w:r>
      <w:r>
        <w:rPr>
          <w:rFonts w:ascii="Times New Roman" w:cs="Times New Roman" w:eastAsia="Times New Roman" w:hAnsi="Times New Roman"/>
          <w:sz w:val="20"/>
          <w:szCs w:val="20"/>
          <w:b w:val="1"/>
          <w:bCs w:val="1"/>
          <w:i w:val="1"/>
          <w:iCs w:val="1"/>
          <w:color w:val="auto"/>
        </w:rPr>
        <w:t>Major Investor</w:t>
      </w:r>
      <w:r>
        <w:rPr>
          <w:rFonts w:ascii="Times New Roman" w:cs="Times New Roman" w:eastAsia="Times New Roman" w:hAnsi="Times New Roman"/>
          <w:sz w:val="20"/>
          <w:szCs w:val="20"/>
          <w:color w:val="auto"/>
        </w:rPr>
        <w:t>” means (i) any Investor that, individually or together with such Investor’s Affiliates, holds at least 3,478,260 shares of Registrable Securities (as adjusted for any stock split, stock dividend, combination, or other recapitalization or reclassification effected after the date hereof).</w:t>
      </w:r>
    </w:p>
    <w:p>
      <w:pPr>
        <w:spacing w:after="0" w:line="169" w:lineRule="exact"/>
        <w:rPr>
          <w:sz w:val="20"/>
          <w:szCs w:val="20"/>
          <w:color w:val="auto"/>
        </w:rPr>
      </w:pPr>
    </w:p>
    <w:p>
      <w:pPr>
        <w:jc w:val="both"/>
        <w:ind w:firstLine="1594"/>
        <w:spacing w:after="0" w:line="248" w:lineRule="auto"/>
        <w:rPr>
          <w:sz w:val="20"/>
          <w:szCs w:val="20"/>
          <w:color w:val="auto"/>
        </w:rPr>
      </w:pPr>
      <w:r>
        <w:rPr>
          <w:rFonts w:ascii="Times New Roman" w:cs="Times New Roman" w:eastAsia="Times New Roman" w:hAnsi="Times New Roman"/>
          <w:sz w:val="20"/>
          <w:szCs w:val="20"/>
          <w:color w:val="auto"/>
        </w:rPr>
        <w:t>1.22 “</w:t>
      </w:r>
      <w:r>
        <w:rPr>
          <w:rFonts w:ascii="Times New Roman" w:cs="Times New Roman" w:eastAsia="Times New Roman" w:hAnsi="Times New Roman"/>
          <w:sz w:val="20"/>
          <w:szCs w:val="20"/>
          <w:b w:val="1"/>
          <w:bCs w:val="1"/>
          <w:i w:val="1"/>
          <w:iCs w:val="1"/>
          <w:color w:val="auto"/>
        </w:rPr>
        <w:t>New Securities</w:t>
      </w:r>
      <w:r>
        <w:rPr>
          <w:rFonts w:ascii="Times New Roman" w:cs="Times New Roman" w:eastAsia="Times New Roman" w:hAnsi="Times New Roman"/>
          <w:sz w:val="20"/>
          <w:szCs w:val="20"/>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68580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31" w:right="339" w:bottom="1440" w:gutter="0" w:footer="0" w:header="0"/>
        </w:sectPr>
      </w:pPr>
    </w:p>
    <w:bookmarkStart w:id="90" w:name="page91"/>
    <w:bookmarkEnd w:id="90"/>
    <w:p>
      <w:pPr>
        <w:ind w:firstLine="1594"/>
        <w:spacing w:after="0" w:line="222" w:lineRule="auto"/>
        <w:framePr w:w="2020" w:h="406" w:wrap="auto" w:vAnchor="page" w:hAnchor="page" w:x="1160" w:y="8253"/>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1.32 promulgated thereunder.</w:t>
      </w:r>
    </w:p>
    <w:p>
      <w:pPr>
        <w:jc w:val="both"/>
        <w:ind w:firstLine="1594"/>
        <w:spacing w:after="0" w:line="273" w:lineRule="auto"/>
        <w:rPr>
          <w:sz w:val="20"/>
          <w:szCs w:val="20"/>
          <w:color w:val="auto"/>
        </w:rPr>
      </w:pPr>
      <w:r>
        <w:rPr>
          <w:rFonts w:ascii="Times New Roman" w:cs="Times New Roman" w:eastAsia="Times New Roman" w:hAnsi="Times New Roman"/>
          <w:sz w:val="20"/>
          <w:szCs w:val="20"/>
          <w:color w:val="auto"/>
        </w:rPr>
        <w:t>1.23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individual, corporation, partnership, trust, limited liability company, association or other entity</w:t>
      </w:r>
      <w:r>
        <w:rPr>
          <w:rFonts w:ascii="Times New Roman" w:cs="Times New Roman" w:eastAsia="Times New Roman" w:hAnsi="Times New Roman"/>
          <w:sz w:val="20"/>
          <w:szCs w:val="20"/>
          <w:color w:val="0000FF"/>
        </w:rPr>
        <w:t>.</w:t>
      </w:r>
    </w:p>
    <w:p>
      <w:pPr>
        <w:spacing w:after="0" w:line="152" w:lineRule="exact"/>
        <w:rPr>
          <w:rFonts w:ascii="Times New Roman" w:cs="Times New Roman" w:eastAsia="Times New Roman" w:hAnsi="Times New Roman"/>
          <w:sz w:val="19"/>
          <w:szCs w:val="19"/>
          <w:color w:val="auto"/>
        </w:rPr>
      </w:pPr>
    </w:p>
    <w:p>
      <w:pPr>
        <w:jc w:val="both"/>
        <w:ind w:firstLine="1594"/>
        <w:spacing w:after="0" w:line="273" w:lineRule="auto"/>
        <w:rPr>
          <w:sz w:val="20"/>
          <w:szCs w:val="20"/>
          <w:color w:val="auto"/>
        </w:rPr>
      </w:pPr>
      <w:r>
        <w:rPr>
          <w:rFonts w:ascii="Times New Roman" w:cs="Times New Roman" w:eastAsia="Times New Roman" w:hAnsi="Times New Roman"/>
          <w:sz w:val="20"/>
          <w:szCs w:val="20"/>
          <w:color w:val="auto"/>
        </w:rPr>
        <w:t>1.24 “</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means shares of the Company’s Series A Preferred Stock, Series A-1 Preferred Stock, Series B Preferred Stock and Series B-1 Preferred Stock.</w:t>
      </w:r>
    </w:p>
    <w:p>
      <w:pPr>
        <w:spacing w:after="0" w:line="152" w:lineRule="exact"/>
        <w:rPr>
          <w:rFonts w:ascii="Times New Roman" w:cs="Times New Roman" w:eastAsia="Times New Roman" w:hAnsi="Times New Roman"/>
          <w:sz w:val="19"/>
          <w:szCs w:val="19"/>
          <w:color w:val="auto"/>
        </w:rPr>
      </w:pPr>
    </w:p>
    <w:p>
      <w:pPr>
        <w:jc w:val="both"/>
        <w:ind w:firstLine="1594"/>
        <w:spacing w:after="0" w:line="242" w:lineRule="auto"/>
        <w:rPr>
          <w:sz w:val="20"/>
          <w:szCs w:val="20"/>
          <w:color w:val="auto"/>
        </w:rPr>
      </w:pPr>
      <w:r>
        <w:rPr>
          <w:rFonts w:ascii="Times New Roman" w:cs="Times New Roman" w:eastAsia="Times New Roman" w:hAnsi="Times New Roman"/>
          <w:sz w:val="20"/>
          <w:szCs w:val="20"/>
          <w:color w:val="auto"/>
        </w:rPr>
        <w:t>1.25 “</w:t>
      </w:r>
      <w:r>
        <w:rPr>
          <w:rFonts w:ascii="Times New Roman" w:cs="Times New Roman" w:eastAsia="Times New Roman" w:hAnsi="Times New Roman"/>
          <w:sz w:val="20"/>
          <w:szCs w:val="20"/>
          <w:b w:val="1"/>
          <w:bCs w:val="1"/>
          <w:i w:val="1"/>
          <w:iCs w:val="1"/>
          <w:color w:val="auto"/>
        </w:rPr>
        <w:t>Registrable Securities</w:t>
      </w:r>
      <w:r>
        <w:rPr>
          <w:rFonts w:ascii="Times New Roman" w:cs="Times New Roman" w:eastAsia="Times New Roman" w:hAnsi="Times New Roman"/>
          <w:sz w:val="20"/>
          <w:szCs w:val="20"/>
          <w:color w:val="auto"/>
        </w:rPr>
        <w:t xml:space="preserve">” means (i) the Common Stock issuable or issued upon conversion of the Preferred Stock; (ii) any Common Stock, or any Common Stock issued or issuable (directly or indirectly) upon conversion and/or exercise of any other securities of the Company, acquired by the Investors on or after the date hereof; (iii) the Key Holder Registrable Securities, provided, however, that such Key Holder Registrable Securities shall not be deemed Registrable Securities and the Key Holders shall not be deemed Holders for the purposes of Subsections 2.1 (and any other applicable Section or Subsection with respect to registrations under Subsection 2.1, 2.10, 3.1, 3.2, 4.1 and 6.6, and (iv)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excluding in all cases (other than the restrictions on transfer and legend requirements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however, any Registrable Securities sold by a Person in a transaction in which the applicable rights under this Agreement are not assigned pursuant to </w:t>
      </w:r>
      <w:r>
        <w:rPr>
          <w:rFonts w:ascii="Times New Roman" w:cs="Times New Roman" w:eastAsia="Times New Roman" w:hAnsi="Times New Roman"/>
          <w:sz w:val="20"/>
          <w:szCs w:val="20"/>
          <w:u w:val="single" w:color="auto"/>
          <w:color w:val="auto"/>
        </w:rPr>
        <w:t>Subsection 6.1</w:t>
      </w:r>
      <w:r>
        <w:rPr>
          <w:rFonts w:ascii="Times New Roman" w:cs="Times New Roman" w:eastAsia="Times New Roman" w:hAnsi="Times New Roman"/>
          <w:sz w:val="20"/>
          <w:szCs w:val="20"/>
          <w:color w:val="auto"/>
        </w:rPr>
        <w:t xml:space="preserve">, and excluding for purposes of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any shares for which registration rights have terminated pursuant to </w:t>
      </w:r>
      <w:r>
        <w:rPr>
          <w:rFonts w:ascii="Times New Roman" w:cs="Times New Roman" w:eastAsia="Times New Roman" w:hAnsi="Times New Roman"/>
          <w:sz w:val="20"/>
          <w:szCs w:val="20"/>
          <w:u w:val="single" w:color="auto"/>
          <w:color w:val="auto"/>
        </w:rPr>
        <w:t>Subsection 2.13</w:t>
      </w:r>
      <w:r>
        <w:rPr>
          <w:rFonts w:ascii="Times New Roman" w:cs="Times New Roman" w:eastAsia="Times New Roman" w:hAnsi="Times New Roman"/>
          <w:sz w:val="20"/>
          <w:szCs w:val="20"/>
          <w:color w:val="auto"/>
        </w:rPr>
        <w:t xml:space="preserve"> of this Agreement.</w:t>
      </w:r>
    </w:p>
    <w:p>
      <w:pPr>
        <w:spacing w:after="0" w:line="187" w:lineRule="exact"/>
        <w:rPr>
          <w:rFonts w:ascii="Times New Roman" w:cs="Times New Roman" w:eastAsia="Times New Roman" w:hAnsi="Times New Roman"/>
          <w:sz w:val="19"/>
          <w:szCs w:val="19"/>
          <w:color w:val="auto"/>
        </w:rPr>
      </w:pPr>
    </w:p>
    <w:p>
      <w:pPr>
        <w:jc w:val="both"/>
        <w:ind w:firstLine="1594"/>
        <w:spacing w:after="0" w:line="256" w:lineRule="auto"/>
        <w:rPr>
          <w:sz w:val="20"/>
          <w:szCs w:val="20"/>
          <w:color w:val="auto"/>
        </w:rPr>
      </w:pPr>
      <w:r>
        <w:rPr>
          <w:rFonts w:ascii="Times New Roman" w:cs="Times New Roman" w:eastAsia="Times New Roman" w:hAnsi="Times New Roman"/>
          <w:sz w:val="20"/>
          <w:szCs w:val="20"/>
          <w:color w:val="auto"/>
        </w:rPr>
        <w:t>1.26 “</w:t>
      </w:r>
      <w:r>
        <w:rPr>
          <w:rFonts w:ascii="Times New Roman" w:cs="Times New Roman" w:eastAsia="Times New Roman" w:hAnsi="Times New Roman"/>
          <w:sz w:val="20"/>
          <w:szCs w:val="20"/>
          <w:b w:val="1"/>
          <w:bCs w:val="1"/>
          <w:i w:val="1"/>
          <w:iCs w:val="1"/>
          <w:color w:val="auto"/>
        </w:rPr>
        <w:t>Registrable Securities then outstanding</w:t>
      </w:r>
      <w:r>
        <w:rPr>
          <w:rFonts w:ascii="Times New Roman" w:cs="Times New Roman" w:eastAsia="Times New Roman" w:hAnsi="Times New Roman"/>
          <w:sz w:val="20"/>
          <w:szCs w:val="20"/>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69" w:lineRule="exact"/>
        <w:rPr>
          <w:rFonts w:ascii="Times New Roman" w:cs="Times New Roman" w:eastAsia="Times New Roman" w:hAnsi="Times New Roman"/>
          <w:sz w:val="19"/>
          <w:szCs w:val="19"/>
          <w:color w:val="auto"/>
        </w:rPr>
      </w:pPr>
    </w:p>
    <w:p>
      <w:pPr>
        <w:jc w:val="both"/>
        <w:ind w:firstLine="1594"/>
        <w:spacing w:after="0" w:line="273" w:lineRule="auto"/>
        <w:rPr>
          <w:sz w:val="20"/>
          <w:szCs w:val="20"/>
          <w:color w:val="auto"/>
        </w:rPr>
      </w:pPr>
      <w:r>
        <w:rPr>
          <w:rFonts w:ascii="Times New Roman" w:cs="Times New Roman" w:eastAsia="Times New Roman" w:hAnsi="Times New Roman"/>
          <w:sz w:val="20"/>
          <w:szCs w:val="20"/>
          <w:color w:val="auto"/>
        </w:rPr>
        <w:t>1.27 “</w:t>
      </w:r>
      <w:r>
        <w:rPr>
          <w:rFonts w:ascii="Times New Roman" w:cs="Times New Roman" w:eastAsia="Times New Roman" w:hAnsi="Times New Roman"/>
          <w:sz w:val="20"/>
          <w:szCs w:val="20"/>
          <w:b w:val="1"/>
          <w:bCs w:val="1"/>
          <w:i w:val="1"/>
          <w:iCs w:val="1"/>
          <w:color w:val="auto"/>
        </w:rPr>
        <w:t>Restricted Securities</w:t>
      </w:r>
      <w:r>
        <w:rPr>
          <w:rFonts w:ascii="Times New Roman" w:cs="Times New Roman" w:eastAsia="Times New Roman" w:hAnsi="Times New Roman"/>
          <w:sz w:val="20"/>
          <w:szCs w:val="20"/>
          <w:color w:val="auto"/>
        </w:rPr>
        <w:t xml:space="preserve">” means the securities of the Company required to be notated with the legend set forth in </w:t>
      </w:r>
      <w:r>
        <w:rPr>
          <w:rFonts w:ascii="Times New Roman" w:cs="Times New Roman" w:eastAsia="Times New Roman" w:hAnsi="Times New Roman"/>
          <w:sz w:val="20"/>
          <w:szCs w:val="20"/>
          <w:u w:val="single" w:color="auto"/>
          <w:color w:val="auto"/>
        </w:rPr>
        <w:t>Subsection 2.12(b)</w:t>
      </w:r>
      <w:r>
        <w:rPr>
          <w:rFonts w:ascii="Times New Roman" w:cs="Times New Roman" w:eastAsia="Times New Roman" w:hAnsi="Times New Roman"/>
          <w:sz w:val="20"/>
          <w:szCs w:val="20"/>
          <w:color w:val="auto"/>
        </w:rPr>
        <w:t xml:space="preserve"> hereof.</w:t>
      </w:r>
    </w:p>
    <w:p>
      <w:pPr>
        <w:spacing w:after="0" w:line="152" w:lineRule="exact"/>
        <w:rPr>
          <w:rFonts w:ascii="Times New Roman" w:cs="Times New Roman" w:eastAsia="Times New Roman" w:hAnsi="Times New Roman"/>
          <w:sz w:val="19"/>
          <w:szCs w:val="19"/>
          <w:color w:val="auto"/>
        </w:rPr>
      </w:pPr>
    </w:p>
    <w:p>
      <w:pPr>
        <w:ind w:left="1580"/>
        <w:spacing w:after="0"/>
        <w:tabs>
          <w:tab w:leader="none" w:pos="256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RTW</w:t>
      </w:r>
      <w:r>
        <w:rPr>
          <w:rFonts w:ascii="Times New Roman" w:cs="Times New Roman" w:eastAsia="Times New Roman" w:hAnsi="Times New Roman"/>
          <w:sz w:val="19"/>
          <w:szCs w:val="19"/>
          <w:color w:val="auto"/>
        </w:rPr>
        <w:t>” means RTW Investments and its Affiliated funds.</w:t>
      </w:r>
    </w:p>
    <w:p>
      <w:pPr>
        <w:spacing w:after="0" w:line="216" w:lineRule="exact"/>
        <w:rPr>
          <w:rFonts w:ascii="Times New Roman" w:cs="Times New Roman" w:eastAsia="Times New Roman" w:hAnsi="Times New Roman"/>
          <w:sz w:val="19"/>
          <w:szCs w:val="19"/>
          <w:color w:val="auto"/>
        </w:rPr>
      </w:pPr>
    </w:p>
    <w:p>
      <w:pPr>
        <w:ind w:left="1580"/>
        <w:spacing w:after="0"/>
        <w:tabs>
          <w:tab w:leader="none" w:pos="256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means the Securities and Exchange Commission.</w:t>
      </w:r>
    </w:p>
    <w:p>
      <w:pPr>
        <w:spacing w:after="0" w:line="216" w:lineRule="exact"/>
        <w:rPr>
          <w:rFonts w:ascii="Times New Roman" w:cs="Times New Roman" w:eastAsia="Times New Roman" w:hAnsi="Times New Roman"/>
          <w:sz w:val="19"/>
          <w:szCs w:val="19"/>
          <w:color w:val="auto"/>
        </w:rPr>
      </w:pPr>
    </w:p>
    <w:p>
      <w:pPr>
        <w:ind w:left="1580"/>
        <w:spacing w:after="0"/>
        <w:tabs>
          <w:tab w:leader="none" w:pos="2560" w:val="left"/>
        </w:tabs>
        <w:rPr>
          <w:sz w:val="20"/>
          <w:szCs w:val="20"/>
          <w:color w:val="auto"/>
        </w:rPr>
      </w:pPr>
      <w:r>
        <w:rPr>
          <w:rFonts w:ascii="Times New Roman" w:cs="Times New Roman" w:eastAsia="Times New Roman" w:hAnsi="Times New Roman"/>
          <w:sz w:val="20"/>
          <w:szCs w:val="20"/>
          <w:color w:val="auto"/>
        </w:rPr>
        <w:t>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 Rule 144</w:t>
      </w:r>
      <w:r>
        <w:rPr>
          <w:rFonts w:ascii="Times New Roman" w:cs="Times New Roman" w:eastAsia="Times New Roman" w:hAnsi="Times New Roman"/>
          <w:sz w:val="19"/>
          <w:szCs w:val="19"/>
          <w:color w:val="auto"/>
        </w:rPr>
        <w:t>” means Rule 144 promulgated by the SEC under the Securities Act.</w:t>
      </w:r>
    </w:p>
    <w:p>
      <w:pPr>
        <w:spacing w:after="0" w:line="216" w:lineRule="exact"/>
        <w:rPr>
          <w:rFonts w:ascii="Times New Roman" w:cs="Times New Roman" w:eastAsia="Times New Roman" w:hAnsi="Times New Roman"/>
          <w:sz w:val="19"/>
          <w:szCs w:val="19"/>
          <w:color w:val="auto"/>
        </w:rPr>
      </w:pPr>
    </w:p>
    <w:p>
      <w:pPr>
        <w:ind w:left="1580"/>
        <w:spacing w:after="0"/>
        <w:tabs>
          <w:tab w:leader="none" w:pos="256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 Rule 145</w:t>
      </w:r>
      <w:r>
        <w:rPr>
          <w:rFonts w:ascii="Times New Roman" w:cs="Times New Roman" w:eastAsia="Times New Roman" w:hAnsi="Times New Roman"/>
          <w:sz w:val="19"/>
          <w:szCs w:val="19"/>
          <w:color w:val="auto"/>
        </w:rPr>
        <w:t>” means Rule 145 promulgated by the SEC under the Securities Act.</w:t>
      </w:r>
    </w:p>
    <w:p>
      <w:pPr>
        <w:spacing w:after="0" w:line="216" w:lineRule="exact"/>
        <w:rPr>
          <w:rFonts w:ascii="Times New Roman" w:cs="Times New Roman" w:eastAsia="Times New Roman" w:hAnsi="Times New Roman"/>
          <w:sz w:val="19"/>
          <w:szCs w:val="19"/>
          <w:color w:val="auto"/>
        </w:rPr>
      </w:pPr>
    </w:p>
    <w:p>
      <w:pPr>
        <w:ind w:left="2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 and the rules and regulations</w:t>
      </w:r>
    </w:p>
    <w:p>
      <w:pPr>
        <w:spacing w:after="0" w:line="200" w:lineRule="exact"/>
        <w:rPr>
          <w:rFonts w:ascii="Times New Roman" w:cs="Times New Roman" w:eastAsia="Times New Roman" w:hAnsi="Times New Roman"/>
          <w:sz w:val="19"/>
          <w:szCs w:val="19"/>
          <w:color w:val="auto"/>
        </w:rPr>
      </w:pPr>
    </w:p>
    <w:p>
      <w:pPr>
        <w:spacing w:after="0" w:line="245" w:lineRule="exact"/>
        <w:rPr>
          <w:rFonts w:ascii="Times New Roman" w:cs="Times New Roman" w:eastAsia="Times New Roman" w:hAnsi="Times New Roman"/>
          <w:sz w:val="19"/>
          <w:szCs w:val="19"/>
          <w:color w:val="auto"/>
        </w:rPr>
      </w:pPr>
    </w:p>
    <w:p>
      <w:pPr>
        <w:jc w:val="both"/>
        <w:ind w:firstLine="1594"/>
        <w:spacing w:after="0" w:line="248" w:lineRule="auto"/>
        <w:rPr>
          <w:sz w:val="20"/>
          <w:szCs w:val="20"/>
          <w:color w:val="auto"/>
        </w:rPr>
      </w:pPr>
      <w:r>
        <w:rPr>
          <w:rFonts w:ascii="Times New Roman" w:cs="Times New Roman" w:eastAsia="Times New Roman" w:hAnsi="Times New Roman"/>
          <w:sz w:val="20"/>
          <w:szCs w:val="20"/>
          <w:color w:val="auto"/>
        </w:rPr>
        <w:t>1.33 “</w:t>
      </w:r>
      <w:r>
        <w:rPr>
          <w:rFonts w:ascii="Times New Roman" w:cs="Times New Roman" w:eastAsia="Times New Roman" w:hAnsi="Times New Roman"/>
          <w:sz w:val="20"/>
          <w:szCs w:val="20"/>
          <w:b w:val="1"/>
          <w:bCs w:val="1"/>
          <w:i w:val="1"/>
          <w:iCs w:val="1"/>
          <w:color w:val="auto"/>
        </w:rPr>
        <w:t>Selling Expenses</w:t>
      </w:r>
      <w:r>
        <w:rPr>
          <w:rFonts w:ascii="Times New Roman" w:cs="Times New Roman" w:eastAsia="Times New Roman" w:hAnsi="Times New Roman"/>
          <w:sz w:val="20"/>
          <w:szCs w:val="20"/>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20"/>
          <w:szCs w:val="20"/>
          <w:u w:val="single" w:color="auto"/>
          <w:color w:val="auto"/>
        </w:rPr>
        <w:t>Subsection 2.6</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9"/>
          <w:szCs w:val="19"/>
          <w:color w:val="auto"/>
        </w:rPr>
      </w:pPr>
    </w:p>
    <w:p>
      <w:pPr>
        <w:ind w:left="47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column">
              <wp:posOffset>-553085</wp:posOffset>
            </wp:positionH>
            <wp:positionV relativeFrom="paragraph">
              <wp:posOffset>68580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45" w:right="339" w:bottom="1440" w:gutter="0" w:footer="0" w:header="0"/>
        </w:sectPr>
      </w:pPr>
    </w:p>
    <w:bookmarkStart w:id="91" w:name="page92"/>
    <w:bookmarkEnd w:id="91"/>
    <w:tbl>
      <w:tblPr>
        <w:tblLayout w:type="fixed"/>
        <w:tblInd w:w="880" w:type="dxa"/>
        <w:tblCellMar>
          <w:top w:w="0" w:type="dxa"/>
          <w:left w:w="0" w:type="dxa"/>
          <w:bottom w:w="0" w:type="dxa"/>
          <w:right w:w="0" w:type="dxa"/>
        </w:tblCellMar>
      </w:tblPr>
      <w:tr>
        <w:trPr>
          <w:trHeight w:val="233"/>
        </w:trPr>
        <w:tc>
          <w:tcPr>
            <w:tcW w:w="22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1.34</w:t>
            </w:r>
          </w:p>
        </w:tc>
        <w:tc>
          <w:tcPr>
            <w:tcW w:w="8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A Preferred Stock</w:t>
            </w:r>
            <w:r>
              <w:rPr>
                <w:rFonts w:ascii="Times New Roman" w:cs="Times New Roman" w:eastAsia="Times New Roman" w:hAnsi="Times New Roman"/>
                <w:sz w:val="20"/>
                <w:szCs w:val="20"/>
                <w:color w:val="auto"/>
              </w:rPr>
              <w:t>” means shares of the Company’s Series A Preferred Stock, par value</w:t>
            </w:r>
          </w:p>
        </w:tc>
      </w:tr>
      <w:tr>
        <w:trPr>
          <w:trHeight w:val="258"/>
        </w:trPr>
        <w:tc>
          <w:tcPr>
            <w:tcW w:w="226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w w:val="97"/>
              </w:rPr>
              <w:t>$0.0001 per share.</w:t>
            </w:r>
          </w:p>
        </w:tc>
        <w:tc>
          <w:tcPr>
            <w:tcW w:w="8100" w:type="dxa"/>
            <w:vAlign w:val="bottom"/>
          </w:tcPr>
          <w:p>
            <w:pPr>
              <w:spacing w:after="0"/>
              <w:rPr>
                <w:sz w:val="22"/>
                <w:szCs w:val="22"/>
                <w:color w:val="auto"/>
              </w:rPr>
            </w:pPr>
          </w:p>
        </w:tc>
      </w:tr>
      <w:tr>
        <w:trPr>
          <w:trHeight w:val="417"/>
        </w:trPr>
        <w:tc>
          <w:tcPr>
            <w:tcW w:w="22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1.35</w:t>
            </w:r>
          </w:p>
        </w:tc>
        <w:tc>
          <w:tcPr>
            <w:tcW w:w="8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A-1 Preferred Stock</w:t>
            </w:r>
            <w:r>
              <w:rPr>
                <w:rFonts w:ascii="Times New Roman" w:cs="Times New Roman" w:eastAsia="Times New Roman" w:hAnsi="Times New Roman"/>
                <w:sz w:val="20"/>
                <w:szCs w:val="20"/>
                <w:color w:val="auto"/>
              </w:rPr>
              <w:t>” means shares of the Company’s Series A-1 Preferred Stock, par</w:t>
            </w:r>
          </w:p>
        </w:tc>
      </w:tr>
      <w:tr>
        <w:trPr>
          <w:trHeight w:val="258"/>
        </w:trPr>
        <w:tc>
          <w:tcPr>
            <w:tcW w:w="22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7"/>
              </w:rPr>
              <w:t>value $0.0001 per share.</w:t>
            </w:r>
          </w:p>
        </w:tc>
        <w:tc>
          <w:tcPr>
            <w:tcW w:w="8100" w:type="dxa"/>
            <w:vAlign w:val="bottom"/>
          </w:tcPr>
          <w:p>
            <w:pPr>
              <w:spacing w:after="0"/>
              <w:rPr>
                <w:sz w:val="22"/>
                <w:szCs w:val="22"/>
                <w:color w:val="auto"/>
              </w:rPr>
            </w:pPr>
          </w:p>
        </w:tc>
      </w:tr>
      <w:tr>
        <w:trPr>
          <w:trHeight w:val="446"/>
        </w:trPr>
        <w:tc>
          <w:tcPr>
            <w:tcW w:w="22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1.36</w:t>
            </w:r>
          </w:p>
        </w:tc>
        <w:tc>
          <w:tcPr>
            <w:tcW w:w="810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B Director</w:t>
            </w:r>
            <w:r>
              <w:rPr>
                <w:rFonts w:ascii="Times New Roman" w:cs="Times New Roman" w:eastAsia="Times New Roman" w:hAnsi="Times New Roman"/>
                <w:sz w:val="20"/>
                <w:szCs w:val="20"/>
                <w:color w:val="auto"/>
              </w:rPr>
              <w:t>” shall have the meaning set forth in the Certificate of Incorporation.</w:t>
            </w:r>
          </w:p>
        </w:tc>
      </w:tr>
      <w:tr>
        <w:trPr>
          <w:trHeight w:val="417"/>
        </w:trPr>
        <w:tc>
          <w:tcPr>
            <w:tcW w:w="22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1.37</w:t>
            </w:r>
          </w:p>
        </w:tc>
        <w:tc>
          <w:tcPr>
            <w:tcW w:w="8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B Preferred Stock</w:t>
            </w:r>
            <w:r>
              <w:rPr>
                <w:rFonts w:ascii="Times New Roman" w:cs="Times New Roman" w:eastAsia="Times New Roman" w:hAnsi="Times New Roman"/>
                <w:sz w:val="20"/>
                <w:szCs w:val="20"/>
                <w:color w:val="auto"/>
              </w:rPr>
              <w:t>” means shares of the Company’s Series B Preferred Stock, par value</w:t>
            </w:r>
          </w:p>
        </w:tc>
      </w:tr>
      <w:tr>
        <w:trPr>
          <w:trHeight w:val="258"/>
        </w:trPr>
        <w:tc>
          <w:tcPr>
            <w:tcW w:w="226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w w:val="97"/>
              </w:rPr>
              <w:t>$0.0001 per share.</w:t>
            </w:r>
          </w:p>
        </w:tc>
        <w:tc>
          <w:tcPr>
            <w:tcW w:w="8100" w:type="dxa"/>
            <w:vAlign w:val="bottom"/>
          </w:tcPr>
          <w:p>
            <w:pPr>
              <w:spacing w:after="0"/>
              <w:rPr>
                <w:sz w:val="22"/>
                <w:szCs w:val="22"/>
                <w:color w:val="auto"/>
              </w:rPr>
            </w:pPr>
          </w:p>
        </w:tc>
      </w:tr>
      <w:tr>
        <w:trPr>
          <w:trHeight w:val="417"/>
        </w:trPr>
        <w:tc>
          <w:tcPr>
            <w:tcW w:w="22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1.38</w:t>
            </w:r>
          </w:p>
        </w:tc>
        <w:tc>
          <w:tcPr>
            <w:tcW w:w="8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B-1 Preferred Stock</w:t>
            </w:r>
            <w:r>
              <w:rPr>
                <w:rFonts w:ascii="Times New Roman" w:cs="Times New Roman" w:eastAsia="Times New Roman" w:hAnsi="Times New Roman"/>
                <w:sz w:val="20"/>
                <w:szCs w:val="20"/>
                <w:color w:val="auto"/>
              </w:rPr>
              <w:t>” means shares of the Company’s Series B-1 Preferred Stock, par</w:t>
            </w:r>
          </w:p>
        </w:tc>
      </w:tr>
      <w:tr>
        <w:trPr>
          <w:trHeight w:val="258"/>
        </w:trPr>
        <w:tc>
          <w:tcPr>
            <w:tcW w:w="22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7"/>
              </w:rPr>
              <w:t>value $0.0001 per share.</w:t>
            </w:r>
          </w:p>
        </w:tc>
        <w:tc>
          <w:tcPr>
            <w:tcW w:w="8100" w:type="dxa"/>
            <w:vAlign w:val="bottom"/>
          </w:tcPr>
          <w:p>
            <w:pPr>
              <w:spacing w:after="0"/>
              <w:rPr>
                <w:sz w:val="22"/>
                <w:szCs w:val="22"/>
                <w:color w:val="auto"/>
              </w:rPr>
            </w:pPr>
          </w:p>
        </w:tc>
      </w:tr>
    </w:tbl>
    <w:p>
      <w:pPr>
        <w:spacing w:after="0" w:line="187" w:lineRule="exact"/>
        <w:rPr>
          <w:sz w:val="20"/>
          <w:szCs w:val="20"/>
          <w:color w:val="auto"/>
        </w:rPr>
      </w:pPr>
    </w:p>
    <w:p>
      <w:pPr>
        <w:ind w:left="1660" w:hanging="788"/>
        <w:spacing w:after="0"/>
        <w:tabs>
          <w:tab w:leader="none" w:pos="16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w:t>
      </w:r>
      <w:r>
        <w:rPr>
          <w:rFonts w:ascii="Times New Roman" w:cs="Times New Roman" w:eastAsia="Times New Roman" w:hAnsi="Times New Roman"/>
          <w:sz w:val="20"/>
          <w:szCs w:val="20"/>
          <w:color w:val="auto"/>
        </w:rPr>
        <w:t>. The Company covenants and agrees as follows:</w:t>
      </w:r>
    </w:p>
    <w:p>
      <w:pPr>
        <w:spacing w:after="0" w:line="215" w:lineRule="exact"/>
        <w:rPr>
          <w:rFonts w:ascii="Times New Roman" w:cs="Times New Roman" w:eastAsia="Times New Roman" w:hAnsi="Times New Roman"/>
          <w:sz w:val="20"/>
          <w:szCs w:val="20"/>
          <w:color w:val="auto"/>
        </w:rPr>
      </w:pPr>
    </w:p>
    <w:p>
      <w:pPr>
        <w:ind w:left="2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19"/>
          <w:szCs w:val="19"/>
          <w:u w:val="single" w:color="auto"/>
          <w:color w:val="auto"/>
        </w:rPr>
        <w:t>Demand Registration</w:t>
      </w:r>
      <w:r>
        <w:rPr>
          <w:rFonts w:ascii="Times New Roman" w:cs="Times New Roman" w:eastAsia="Times New Roman" w:hAnsi="Times New Roman"/>
          <w:sz w:val="19"/>
          <w:szCs w:val="19"/>
          <w:color w:val="auto"/>
        </w:rPr>
        <w:t>.</w:t>
      </w:r>
    </w:p>
    <w:p>
      <w:pPr>
        <w:spacing w:after="0" w:line="215" w:lineRule="exact"/>
        <w:rPr>
          <w:rFonts w:ascii="Times New Roman" w:cs="Times New Roman" w:eastAsia="Times New Roman" w:hAnsi="Times New Roman"/>
          <w:sz w:val="20"/>
          <w:szCs w:val="20"/>
          <w:color w:val="auto"/>
        </w:rPr>
      </w:pPr>
    </w:p>
    <w:p>
      <w:pPr>
        <w:jc w:val="both"/>
        <w:ind w:firstLine="2600"/>
        <w:spacing w:after="0" w:line="242" w:lineRule="auto"/>
        <w:tabs>
          <w:tab w:leader="none" w:pos="34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S-1 Demand</w:t>
      </w:r>
      <w:r>
        <w:rPr>
          <w:rFonts w:ascii="Times New Roman" w:cs="Times New Roman" w:eastAsia="Times New Roman" w:hAnsi="Times New Roman"/>
          <w:sz w:val="20"/>
          <w:szCs w:val="20"/>
          <w:color w:val="auto"/>
        </w:rPr>
        <w:t>. If at any time after the earlier of (i) three (3)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with respect to at least forty percent (40%) of the Registrable Securities then outstanding, then the Company shall (x) within ten (10) days after the date such request is given, give notice thereof (the “</w:t>
      </w:r>
      <w:r>
        <w:rPr>
          <w:rFonts w:ascii="Times New Roman" w:cs="Times New Roman" w:eastAsia="Times New Roman" w:hAnsi="Times New Roman"/>
          <w:sz w:val="20"/>
          <w:szCs w:val="20"/>
          <w:b w:val="1"/>
          <w:bCs w:val="1"/>
          <w:i w:val="1"/>
          <w:iCs w:val="1"/>
          <w:color w:val="auto"/>
        </w:rPr>
        <w:t>Demand Notice</w:t>
      </w:r>
      <w:r>
        <w:rPr>
          <w:rFonts w:ascii="Times New Roman" w:cs="Times New Roman" w:eastAsia="Times New Roman" w:hAnsi="Times New Roman"/>
          <w:sz w:val="20"/>
          <w:szCs w:val="20"/>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20"/>
          <w:szCs w:val="20"/>
          <w:u w:val="single" w:color="auto"/>
          <w:color w:val="auto"/>
        </w:rPr>
        <w:t>Subsections 2.1(c)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2600"/>
        <w:spacing w:after="0" w:line="242" w:lineRule="auto"/>
        <w:tabs>
          <w:tab w:leader="none" w:pos="3471"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S-3 Demand</w:t>
      </w:r>
      <w:r>
        <w:rPr>
          <w:rFonts w:ascii="Times New Roman" w:cs="Times New Roman" w:eastAsia="Times New Roman" w:hAnsi="Times New Roman"/>
          <w:sz w:val="20"/>
          <w:szCs w:val="20"/>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$5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20"/>
          <w:szCs w:val="20"/>
          <w:u w:val="single" w:color="auto"/>
          <w:color w:val="auto"/>
        </w:rPr>
        <w:t>Subsections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w:t>
      </w: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92" w:name="page93"/>
    <w:bookmarkEnd w:id="92"/>
    <w:p>
      <w:pPr>
        <w:jc w:val="both"/>
        <w:ind w:firstLine="2600"/>
        <w:spacing w:after="0" w:line="244" w:lineRule="auto"/>
        <w:tabs>
          <w:tab w:leader="none" w:pos="346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20"/>
          <w:szCs w:val="20"/>
          <w:u w:val="single" w:color="auto"/>
          <w:color w:val="auto"/>
        </w:rPr>
        <w:t>Subsection 2.1</w:t>
      </w:r>
      <w:r>
        <w:rPr>
          <w:rFonts w:ascii="Times New Roman" w:cs="Times New Roman" w:eastAsia="Times New Roman" w:hAnsi="Times New Roman"/>
          <w:sz w:val="20"/>
          <w:szCs w:val="20"/>
          <w:color w:val="auto"/>
        </w:rPr>
        <w:t xml:space="preserve"> a certificate signed by the Company’s chief executive officer stating that in the good faith judgment of the Board of Directors it would be materially detrimental to the Company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w:t>
      </w:r>
    </w:p>
    <w:p>
      <w:pPr>
        <w:ind w:left="300" w:hanging="292"/>
        <w:spacing w:after="0"/>
        <w:tabs>
          <w:tab w:leader="none" w:pos="30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premature disclosure of material information that the Company has a bona fide business purpose for preserving as confidential; or</w:t>
      </w:r>
    </w:p>
    <w:p>
      <w:pPr>
        <w:spacing w:after="0" w:line="11" w:lineRule="exact"/>
        <w:rPr>
          <w:rFonts w:ascii="Times New Roman" w:cs="Times New Roman" w:eastAsia="Times New Roman" w:hAnsi="Times New Roman"/>
          <w:sz w:val="19"/>
          <w:szCs w:val="19"/>
          <w:color w:val="auto"/>
        </w:rPr>
      </w:pPr>
    </w:p>
    <w:p>
      <w:pPr>
        <w:jc w:val="both"/>
        <w:ind w:firstLine="8"/>
        <w:spacing w:after="0"/>
        <w:tabs>
          <w:tab w:leader="none" w:pos="36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may not invoke this right more than once in any twelve (12) month period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Company shall not register any securities for its own account or that of any other stockholder during such one hundred twenty (120) day period other than an Excluded Registration.</w:t>
      </w:r>
    </w:p>
    <w:p>
      <w:pPr>
        <w:spacing w:after="0" w:line="191" w:lineRule="exact"/>
        <w:rPr>
          <w:rFonts w:ascii="Times New Roman" w:cs="Times New Roman" w:eastAsia="Times New Roman" w:hAnsi="Times New Roman"/>
          <w:sz w:val="20"/>
          <w:szCs w:val="20"/>
          <w:color w:val="auto"/>
        </w:rPr>
      </w:pPr>
    </w:p>
    <w:p>
      <w:pPr>
        <w:jc w:val="both"/>
        <w:ind w:firstLine="2600"/>
        <w:spacing w:after="0" w:line="245" w:lineRule="auto"/>
        <w:tabs>
          <w:tab w:leader="none" w:pos="3471"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not be obligated to effect, or to take any action to effect, any registration pursuant to </w:t>
      </w:r>
      <w:r>
        <w:rPr>
          <w:rFonts w:ascii="Times New Roman" w:cs="Times New Roman" w:eastAsia="Times New Roman" w:hAnsi="Times New Roman"/>
          <w:sz w:val="20"/>
          <w:szCs w:val="20"/>
          <w:u w:val="single" w:color="auto"/>
          <w:color w:val="auto"/>
        </w:rPr>
        <w:t>Subsection 2.1(a)</w:t>
      </w:r>
      <w:r>
        <w:rPr>
          <w:rFonts w:ascii="Times New Roman" w:cs="Times New Roman" w:eastAsia="Times New Roman" w:hAnsi="Times New Roman"/>
          <w:sz w:val="20"/>
          <w:szCs w:val="20"/>
          <w:color w:val="auto"/>
        </w:rPr>
        <w:t xml:space="preserve"> (i) during the period that is sixty (60) days before the Company’s good faith estimate of the date of filing of, and ending on a date that is one hundred eighty (180) days after the effective date of, a Company-initiated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is actively employing in good faith commercially reasonable efforts to cause such registration statement to become effective;</w:t>
      </w:r>
    </w:p>
    <w:p>
      <w:pPr>
        <w:jc w:val="both"/>
        <w:ind w:firstLine="8"/>
        <w:spacing w:after="0"/>
        <w:tabs>
          <w:tab w:leader="none" w:pos="31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Company has effected two registrations pursuant to </w:t>
      </w:r>
      <w:r>
        <w:rPr>
          <w:rFonts w:ascii="Times New Roman" w:cs="Times New Roman" w:eastAsia="Times New Roman" w:hAnsi="Times New Roman"/>
          <w:sz w:val="20"/>
          <w:szCs w:val="20"/>
          <w:u w:val="single" w:color="auto"/>
          <w:color w:val="auto"/>
        </w:rPr>
        <w:t>Subsection 2.1(a)</w:t>
      </w:r>
      <w:r>
        <w:rPr>
          <w:rFonts w:ascii="Times New Roman" w:cs="Times New Roman" w:eastAsia="Times New Roman" w:hAnsi="Times New Roman"/>
          <w:sz w:val="20"/>
          <w:szCs w:val="20"/>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20"/>
          <w:szCs w:val="20"/>
          <w:u w:val="single" w:color="auto"/>
          <w:color w:val="auto"/>
        </w:rPr>
        <w:t>Subsection 2.1(b)</w:t>
      </w:r>
      <w:r>
        <w:rPr>
          <w:rFonts w:ascii="Times New Roman" w:cs="Times New Roman" w:eastAsia="Times New Roman" w:hAnsi="Times New Roman"/>
          <w:sz w:val="20"/>
          <w:szCs w:val="20"/>
          <w:color w:val="auto"/>
        </w:rPr>
        <w:t xml:space="preserve">. The Company shall not be obligated to effect, or to take any action to effect, any registration pursuant to </w:t>
      </w:r>
      <w:r>
        <w:rPr>
          <w:rFonts w:ascii="Times New Roman" w:cs="Times New Roman" w:eastAsia="Times New Roman" w:hAnsi="Times New Roman"/>
          <w:sz w:val="20"/>
          <w:szCs w:val="20"/>
          <w:u w:val="single" w:color="auto"/>
          <w:color w:val="auto"/>
        </w:rPr>
        <w:t>Subsection 2.1(b)</w:t>
      </w:r>
      <w:r>
        <w:rPr>
          <w:rFonts w:ascii="Times New Roman" w:cs="Times New Roman" w:eastAsia="Times New Roman" w:hAnsi="Times New Roman"/>
          <w:sz w:val="20"/>
          <w:szCs w:val="20"/>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is actively employing in good faith commercially reasonable efforts to cause such registration statement to become effective; or (ii) if the Company has effected two registrations pursuant to </w:t>
      </w:r>
      <w:r>
        <w:rPr>
          <w:rFonts w:ascii="Times New Roman" w:cs="Times New Roman" w:eastAsia="Times New Roman" w:hAnsi="Times New Roman"/>
          <w:sz w:val="20"/>
          <w:szCs w:val="20"/>
          <w:u w:val="single" w:color="auto"/>
          <w:color w:val="auto"/>
        </w:rPr>
        <w:t>Subsection 2.1(b)</w:t>
      </w:r>
      <w:r>
        <w:rPr>
          <w:rFonts w:ascii="Times New Roman" w:cs="Times New Roman" w:eastAsia="Times New Roman" w:hAnsi="Times New Roman"/>
          <w:sz w:val="20"/>
          <w:szCs w:val="20"/>
          <w:color w:val="auto"/>
        </w:rPr>
        <w:t xml:space="preserve"> within the twelve (12) month period immediately preceding the date of such request. A registration shall not be counted as “effected” for purposes of this </w:t>
      </w:r>
      <w:r>
        <w:rPr>
          <w:rFonts w:ascii="Times New Roman" w:cs="Times New Roman" w:eastAsia="Times New Roman" w:hAnsi="Times New Roman"/>
          <w:sz w:val="20"/>
          <w:szCs w:val="20"/>
          <w:u w:val="single" w:color="auto"/>
          <w:color w:val="auto"/>
        </w:rPr>
        <w:t>Subsection 2.1(d)</w:t>
      </w:r>
      <w:r>
        <w:rPr>
          <w:rFonts w:ascii="Times New Roman" w:cs="Times New Roman" w:eastAsia="Times New Roman" w:hAnsi="Times New Roman"/>
          <w:sz w:val="20"/>
          <w:szCs w:val="20"/>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20"/>
          <w:szCs w:val="20"/>
          <w:u w:val="single" w:color="auto"/>
          <w:color w:val="auto"/>
        </w:rPr>
        <w:t>Subsection 2.6</w:t>
      </w:r>
      <w:r>
        <w:rPr>
          <w:rFonts w:ascii="Times New Roman" w:cs="Times New Roman" w:eastAsia="Times New Roman" w:hAnsi="Times New Roman"/>
          <w:sz w:val="20"/>
          <w:szCs w:val="20"/>
          <w:color w:val="auto"/>
        </w:rPr>
        <w:t xml:space="preserve">, in which case such withdrawn registration statement shall be counted as “effected” for purposes of this </w:t>
      </w:r>
      <w:r>
        <w:rPr>
          <w:rFonts w:ascii="Times New Roman" w:cs="Times New Roman" w:eastAsia="Times New Roman" w:hAnsi="Times New Roman"/>
          <w:sz w:val="20"/>
          <w:szCs w:val="20"/>
          <w:u w:val="single" w:color="auto"/>
          <w:color w:val="auto"/>
        </w:rPr>
        <w:t>Subsection 2.1(d)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withdrawal is during a period the Company has deferred taking action pursuant to </w:t>
      </w:r>
      <w:r>
        <w:rPr>
          <w:rFonts w:ascii="Times New Roman" w:cs="Times New Roman" w:eastAsia="Times New Roman" w:hAnsi="Times New Roman"/>
          <w:sz w:val="20"/>
          <w:szCs w:val="20"/>
          <w:u w:val="single" w:color="auto"/>
          <w:color w:val="auto"/>
        </w:rPr>
        <w:t>Subsection 2.1(c)</w:t>
      </w:r>
      <w:r>
        <w:rPr>
          <w:rFonts w:ascii="Times New Roman" w:cs="Times New Roman" w:eastAsia="Times New Roman" w:hAnsi="Times New Roman"/>
          <w:sz w:val="20"/>
          <w:szCs w:val="20"/>
          <w:color w:val="auto"/>
        </w:rPr>
        <w:t xml:space="preserve">, then the Initiating Holders may withdraw their request for registration and such registration will not be counted as “effected” for purposes of this </w:t>
      </w:r>
      <w:r>
        <w:rPr>
          <w:rFonts w:ascii="Times New Roman" w:cs="Times New Roman" w:eastAsia="Times New Roman" w:hAnsi="Times New Roman"/>
          <w:sz w:val="20"/>
          <w:szCs w:val="20"/>
          <w:u w:val="single" w:color="auto"/>
          <w:color w:val="auto"/>
        </w:rPr>
        <w:t>Subsection 2.1(d)</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880" w:firstLine="1594"/>
        <w:spacing w:after="0" w:line="24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Company Registration</w:t>
      </w:r>
      <w:r>
        <w:rPr>
          <w:rFonts w:ascii="Times New Roman" w:cs="Times New Roman" w:eastAsia="Times New Roman" w:hAnsi="Times New Roman"/>
          <w:sz w:val="20"/>
          <w:szCs w:val="20"/>
          <w:color w:val="auto"/>
        </w:rPr>
        <w:t>.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w:t>
      </w:r>
    </w:p>
    <w:p>
      <w:pPr>
        <w:spacing w:after="0" w:line="1" w:lineRule="exact"/>
        <w:rPr>
          <w:sz w:val="20"/>
          <w:szCs w:val="20"/>
          <w:color w:val="auto"/>
        </w:rPr>
      </w:pPr>
    </w:p>
    <w:p>
      <w:pPr>
        <w:jc w:val="both"/>
        <w:ind w:left="880" w:hanging="8"/>
        <w:spacing w:after="0" w:line="239" w:lineRule="auto"/>
        <w:tabs>
          <w:tab w:leader="none" w:pos="127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such notice is given by the Company, the Company shall, subject to the provisions of </w:t>
      </w:r>
      <w:r>
        <w:rPr>
          <w:rFonts w:ascii="Times New Roman" w:cs="Times New Roman" w:eastAsia="Times New Roman" w:hAnsi="Times New Roman"/>
          <w:sz w:val="20"/>
          <w:szCs w:val="20"/>
          <w:u w:val="single" w:color="auto"/>
          <w:color w:val="auto"/>
        </w:rPr>
        <w:t>Subsection 2.3</w:t>
      </w:r>
      <w:r>
        <w:rPr>
          <w:rFonts w:ascii="Times New Roman" w:cs="Times New Roman" w:eastAsia="Times New Roman" w:hAnsi="Times New Roman"/>
          <w:sz w:val="20"/>
          <w:szCs w:val="20"/>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20"/>
          <w:szCs w:val="20"/>
          <w:u w:val="single" w:color="auto"/>
          <w:color w:val="auto"/>
        </w:rPr>
        <w:t>Subsection 2.2</w:t>
      </w:r>
      <w:r>
        <w:rPr>
          <w:rFonts w:ascii="Times New Roman" w:cs="Times New Roman" w:eastAsia="Times New Roman" w:hAnsi="Times New Roman"/>
          <w:sz w:val="20"/>
          <w:szCs w:val="20"/>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20"/>
          <w:szCs w:val="20"/>
          <w:u w:val="single" w:color="auto"/>
          <w:color w:val="auto"/>
        </w:rPr>
        <w:t>Subsection 2.6</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3" w:name="page94"/>
    <w:bookmarkEnd w:id="93"/>
    <w:tbl>
      <w:tblPr>
        <w:tblLayout w:type="fixed"/>
        <w:tblInd w:w="2460" w:type="dxa"/>
        <w:tblCellMar>
          <w:top w:w="0" w:type="dxa"/>
          <w:left w:w="0" w:type="dxa"/>
          <w:bottom w:w="0" w:type="dxa"/>
          <w:right w:w="0" w:type="dxa"/>
        </w:tblCellMar>
      </w:tblPr>
      <w:tr>
        <w:trPr>
          <w:trHeight w:val="230"/>
        </w:trPr>
        <w:tc>
          <w:tcPr>
            <w:tcW w:w="6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5"/>
              </w:rPr>
              <w:t>2.3</w:t>
            </w:r>
          </w:p>
        </w:tc>
        <w:tc>
          <w:tcPr>
            <w:tcW w:w="260" w:type="dxa"/>
            <w:vAlign w:val="bottom"/>
          </w:tcPr>
          <w:p>
            <w:pPr>
              <w:spacing w:after="0"/>
              <w:rPr>
                <w:sz w:val="19"/>
                <w:szCs w:val="19"/>
                <w:color w:val="auto"/>
              </w:rPr>
            </w:pPr>
          </w:p>
        </w:tc>
        <w:tc>
          <w:tcPr>
            <w:tcW w:w="7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Underwriting Requirements.</w:t>
            </w: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26"/>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(a)</w:t>
            </w:r>
          </w:p>
        </w:tc>
        <w:tc>
          <w:tcPr>
            <w:tcW w:w="260" w:type="dxa"/>
            <w:vAlign w:val="bottom"/>
          </w:tcPr>
          <w:p>
            <w:pPr>
              <w:spacing w:after="0"/>
              <w:rPr>
                <w:sz w:val="24"/>
                <w:szCs w:val="24"/>
                <w:color w:val="auto"/>
              </w:rPr>
            </w:pPr>
          </w:p>
        </w:tc>
        <w:tc>
          <w:tcPr>
            <w:tcW w:w="7880" w:type="dxa"/>
            <w:vAlign w:val="bottom"/>
            <w:gridSpan w:val="4"/>
          </w:tcPr>
          <w:p>
            <w:pPr>
              <w:ind w:left="2060"/>
              <w:spacing w:after="0"/>
              <w:rPr>
                <w:sz w:val="20"/>
                <w:szCs w:val="20"/>
                <w:color w:val="auto"/>
              </w:rPr>
            </w:pPr>
            <w:r>
              <w:rPr>
                <w:rFonts w:ascii="Times New Roman" w:cs="Times New Roman" w:eastAsia="Times New Roman" w:hAnsi="Times New Roman"/>
                <w:sz w:val="20"/>
                <w:szCs w:val="20"/>
                <w:color w:val="auto"/>
              </w:rPr>
              <w:t>If, pursuant to Subsection 2.1, the Initiating Holders intend to distribute</w:t>
            </w: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the Registrable Securities covered by their request by means of an underwriting, they shall so advise the Company as a part of their request made pursuant to </w:t>
      </w:r>
      <w:r>
        <w:rPr>
          <w:rFonts w:ascii="Times New Roman" w:cs="Times New Roman" w:eastAsia="Times New Roman" w:hAnsi="Times New Roman"/>
          <w:sz w:val="19"/>
          <w:szCs w:val="19"/>
          <w:u w:val="single" w:color="auto"/>
          <w:color w:val="auto"/>
        </w:rPr>
        <w:t>Subsection 2.1</w:t>
      </w:r>
      <w:r>
        <w:rPr>
          <w:rFonts w:ascii="Times New Roman" w:cs="Times New Roman" w:eastAsia="Times New Roman" w:hAnsi="Times New Roman"/>
          <w:sz w:val="19"/>
          <w:szCs w:val="19"/>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9"/>
          <w:szCs w:val="19"/>
          <w:u w:val="single" w:color="auto"/>
          <w:color w:val="auto"/>
        </w:rPr>
        <w:t>Subsection 2.4(e)</w:t>
      </w:r>
      <w:r>
        <w:rPr>
          <w:rFonts w:ascii="Times New Roman" w:cs="Times New Roman" w:eastAsia="Times New Roman" w:hAnsi="Times New Roman"/>
          <w:sz w:val="19"/>
          <w:szCs w:val="19"/>
          <w:color w:val="auto"/>
        </w:rPr>
        <w:t xml:space="preserve">) enter into an underwriting agreement in customary form with the underwriter(s) selected for such underwriting. Notwithstanding any other provision of this </w:t>
      </w:r>
      <w:r>
        <w:rPr>
          <w:rFonts w:ascii="Times New Roman" w:cs="Times New Roman" w:eastAsia="Times New Roman" w:hAnsi="Times New Roman"/>
          <w:sz w:val="19"/>
          <w:szCs w:val="19"/>
          <w:u w:val="single" w:color="auto"/>
          <w:color w:val="auto"/>
        </w:rPr>
        <w:t>Subsection 2.3</w:t>
      </w:r>
      <w:r>
        <w:rPr>
          <w:rFonts w:ascii="Times New Roman" w:cs="Times New Roman" w:eastAsia="Times New Roman" w:hAnsi="Times New Roman"/>
          <w:sz w:val="19"/>
          <w:szCs w:val="19"/>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77" w:lineRule="exact"/>
        <w:rPr>
          <w:sz w:val="20"/>
          <w:szCs w:val="20"/>
          <w:color w:val="auto"/>
        </w:rPr>
      </w:pPr>
    </w:p>
    <w:p>
      <w:pPr>
        <w:jc w:val="both"/>
        <w:ind w:firstLine="2600"/>
        <w:spacing w:after="0"/>
        <w:tabs>
          <w:tab w:leader="none" w:pos="347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offering involving an underwriting of shares of the Company’s capital stock pursuant to </w:t>
      </w:r>
      <w:r>
        <w:rPr>
          <w:rFonts w:ascii="Times New Roman" w:cs="Times New Roman" w:eastAsia="Times New Roman" w:hAnsi="Times New Roman"/>
          <w:sz w:val="20"/>
          <w:szCs w:val="20"/>
          <w:u w:val="single" w:color="auto"/>
          <w:color w:val="auto"/>
        </w:rPr>
        <w:t>Subsection 2.2</w:t>
      </w:r>
      <w:r>
        <w:rPr>
          <w:rFonts w:ascii="Times New Roman" w:cs="Times New Roman" w:eastAsia="Times New Roman" w:hAnsi="Times New Roman"/>
          <w:sz w:val="20"/>
          <w:szCs w:val="20"/>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20"/>
          <w:szCs w:val="20"/>
          <w:u w:val="single" w:color="auto"/>
          <w:color w:val="auto"/>
        </w:rPr>
        <w:t>Subsection 2.3(b)</w:t>
      </w:r>
      <w:r>
        <w:rPr>
          <w:rFonts w:ascii="Times New Roman" w:cs="Times New Roman" w:eastAsia="Times New Roman" w:hAnsi="Times New Roman"/>
          <w:sz w:val="20"/>
          <w:szCs w:val="20"/>
          <w:color w:val="auto"/>
        </w:rPr>
        <w:t xml:space="preserve"> concerning apportionment, for any selling Holder that is a partnership, limited liability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94" w:name="page95"/>
    <w:bookmarkEnd w:id="94"/>
    <w:p>
      <w:pPr>
        <w:jc w:val="both"/>
        <w:spacing w:after="0" w:line="246" w:lineRule="auto"/>
        <w:rPr>
          <w:sz w:val="20"/>
          <w:szCs w:val="20"/>
          <w:color w:val="auto"/>
        </w:rPr>
      </w:pPr>
      <w:r>
        <w:rPr>
          <w:rFonts w:ascii="Times New Roman" w:cs="Times New Roman" w:eastAsia="Times New Roman" w:hAnsi="Times New Roman"/>
          <w:sz w:val="20"/>
          <w:szCs w:val="20"/>
          <w:color w:val="auto"/>
        </w:rPr>
        <w:t>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85" w:lineRule="exact"/>
        <w:rPr>
          <w:sz w:val="20"/>
          <w:szCs w:val="20"/>
          <w:color w:val="auto"/>
        </w:rPr>
      </w:pPr>
    </w:p>
    <w:p>
      <w:pPr>
        <w:ind w:left="880" w:right="20" w:firstLine="1594"/>
        <w:spacing w:after="0" w:line="26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Obligations of the Company</w:t>
      </w:r>
      <w:r>
        <w:rPr>
          <w:rFonts w:ascii="Times New Roman" w:cs="Times New Roman" w:eastAsia="Times New Roman" w:hAnsi="Times New Roman"/>
          <w:sz w:val="20"/>
          <w:szCs w:val="20"/>
          <w:color w:val="auto"/>
        </w:rPr>
        <w:t xml:space="preserve">. Whenever required under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to effect the registration of any Registrable Securities, the Company shall, as expeditiously as reasonably possible:</w:t>
      </w:r>
    </w:p>
    <w:p>
      <w:pPr>
        <w:spacing w:after="0" w:line="159" w:lineRule="exact"/>
        <w:rPr>
          <w:sz w:val="20"/>
          <w:szCs w:val="20"/>
          <w:color w:val="auto"/>
        </w:rPr>
      </w:pPr>
    </w:p>
    <w:p>
      <w:pPr>
        <w:jc w:val="both"/>
        <w:ind w:firstLine="2600"/>
        <w:spacing w:after="0" w:line="245" w:lineRule="auto"/>
        <w:tabs>
          <w:tab w:leader="none" w:pos="34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one hundred twenty (120) day period shall be extended for a period of time equal to the period the Holder refrains, at the request of an underwriter of Common Stock (or other securities) of the Company, from selling any securities included in such registration;</w:t>
      </w:r>
    </w:p>
    <w:p>
      <w:pPr>
        <w:spacing w:after="0" w:line="184" w:lineRule="exact"/>
        <w:rPr>
          <w:rFonts w:ascii="Times New Roman" w:cs="Times New Roman" w:eastAsia="Times New Roman" w:hAnsi="Times New Roman"/>
          <w:sz w:val="20"/>
          <w:szCs w:val="20"/>
          <w:color w:val="auto"/>
        </w:rPr>
      </w:pPr>
    </w:p>
    <w:p>
      <w:pPr>
        <w:jc w:val="both"/>
        <w:ind w:firstLine="2600"/>
        <w:spacing w:after="0" w:line="254" w:lineRule="auto"/>
        <w:tabs>
          <w:tab w:leader="none" w:pos="347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74" w:lineRule="exact"/>
        <w:rPr>
          <w:rFonts w:ascii="Times New Roman" w:cs="Times New Roman" w:eastAsia="Times New Roman" w:hAnsi="Times New Roman"/>
          <w:sz w:val="20"/>
          <w:szCs w:val="20"/>
          <w:color w:val="auto"/>
        </w:rPr>
      </w:pPr>
    </w:p>
    <w:p>
      <w:pPr>
        <w:jc w:val="both"/>
        <w:ind w:firstLine="2600"/>
        <w:spacing w:after="0" w:line="254" w:lineRule="auto"/>
        <w:tabs>
          <w:tab w:leader="none" w:pos="34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74" w:lineRule="exact"/>
        <w:rPr>
          <w:rFonts w:ascii="Times New Roman" w:cs="Times New Roman" w:eastAsia="Times New Roman" w:hAnsi="Times New Roman"/>
          <w:sz w:val="20"/>
          <w:szCs w:val="20"/>
          <w:color w:val="auto"/>
        </w:rPr>
      </w:pPr>
    </w:p>
    <w:p>
      <w:pPr>
        <w:jc w:val="both"/>
        <w:ind w:firstLine="2600"/>
        <w:spacing w:after="0" w:line="246" w:lineRule="auto"/>
        <w:tabs>
          <w:tab w:leader="none" w:pos="347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4" w:lineRule="exact"/>
        <w:rPr>
          <w:rFonts w:ascii="Times New Roman" w:cs="Times New Roman" w:eastAsia="Times New Roman" w:hAnsi="Times New Roman"/>
          <w:sz w:val="20"/>
          <w:szCs w:val="20"/>
          <w:color w:val="auto"/>
        </w:rPr>
      </w:pPr>
    </w:p>
    <w:p>
      <w:pPr>
        <w:ind w:firstLine="2600"/>
        <w:spacing w:after="0" w:line="269" w:lineRule="auto"/>
        <w:tabs>
          <w:tab w:leader="none" w:pos="34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underwritten public offering, enter into and perform its obligations under an underwriting agreement, in usual and customary form, with the underwriter(s) of such offering;</w:t>
      </w:r>
    </w:p>
    <w:p>
      <w:pPr>
        <w:spacing w:after="0" w:line="159" w:lineRule="exact"/>
        <w:rPr>
          <w:rFonts w:ascii="Times New Roman" w:cs="Times New Roman" w:eastAsia="Times New Roman" w:hAnsi="Times New Roman"/>
          <w:sz w:val="20"/>
          <w:szCs w:val="20"/>
          <w:color w:val="auto"/>
        </w:rPr>
      </w:pPr>
    </w:p>
    <w:p>
      <w:pPr>
        <w:jc w:val="both"/>
        <w:ind w:firstLine="2600"/>
        <w:spacing w:after="0" w:line="250" w:lineRule="auto"/>
        <w:tabs>
          <w:tab w:leader="none" w:pos="343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commercially reasonable efforts to cause all such Registrable Securities covered by such registration statement to be listed on a national securities exchange or trading system and each securities exchange and trading system (if</w:t>
      </w:r>
    </w:p>
    <w:p>
      <w:pPr>
        <w:spacing w:after="0" w:line="2" w:lineRule="exact"/>
        <w:rPr>
          <w:sz w:val="20"/>
          <w:szCs w:val="20"/>
          <w:color w:val="auto"/>
        </w:rPr>
      </w:pPr>
    </w:p>
    <w:p>
      <w:pPr>
        <w:jc w:val="right"/>
        <w:ind w:right="5560"/>
        <w:spacing w:after="0" w:line="246" w:lineRule="auto"/>
        <w:rPr>
          <w:sz w:val="20"/>
          <w:szCs w:val="20"/>
          <w:color w:val="auto"/>
        </w:rPr>
      </w:pPr>
      <w:r>
        <w:rPr>
          <w:rFonts w:ascii="Times New Roman" w:cs="Times New Roman" w:eastAsia="Times New Roman" w:hAnsi="Times New Roman"/>
          <w:sz w:val="20"/>
          <w:szCs w:val="20"/>
          <w:color w:val="auto"/>
        </w:rPr>
        <w:t>any) on which similar securities issued by the Company are then listed;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5" w:name="page96"/>
    <w:bookmarkEnd w:id="95"/>
    <w:p>
      <w:pPr>
        <w:jc w:val="both"/>
        <w:ind w:firstLine="2600"/>
        <w:spacing w:after="0" w:line="295" w:lineRule="auto"/>
        <w:tabs>
          <w:tab w:leader="none" w:pos="347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37" w:lineRule="exact"/>
        <w:rPr>
          <w:rFonts w:ascii="Times New Roman" w:cs="Times New Roman" w:eastAsia="Times New Roman" w:hAnsi="Times New Roman"/>
          <w:sz w:val="19"/>
          <w:szCs w:val="19"/>
          <w:color w:val="auto"/>
        </w:rPr>
      </w:pPr>
    </w:p>
    <w:p>
      <w:pPr>
        <w:jc w:val="both"/>
        <w:ind w:firstLine="2600"/>
        <w:spacing w:after="0" w:line="245" w:lineRule="auto"/>
        <w:tabs>
          <w:tab w:leader="none" w:pos="347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84" w:lineRule="exact"/>
        <w:rPr>
          <w:rFonts w:ascii="Times New Roman" w:cs="Times New Roman" w:eastAsia="Times New Roman" w:hAnsi="Times New Roman"/>
          <w:sz w:val="20"/>
          <w:szCs w:val="20"/>
          <w:color w:val="auto"/>
        </w:rPr>
      </w:pPr>
    </w:p>
    <w:p>
      <w:pPr>
        <w:jc w:val="both"/>
        <w:ind w:firstLine="2600"/>
        <w:spacing w:after="0" w:line="254" w:lineRule="auto"/>
        <w:tabs>
          <w:tab w:leader="none" w:pos="342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74" w:lineRule="exact"/>
        <w:rPr>
          <w:rFonts w:ascii="Times New Roman" w:cs="Times New Roman" w:eastAsia="Times New Roman" w:hAnsi="Times New Roman"/>
          <w:sz w:val="20"/>
          <w:szCs w:val="20"/>
          <w:color w:val="auto"/>
        </w:rPr>
      </w:pPr>
    </w:p>
    <w:p>
      <w:pPr>
        <w:ind w:firstLine="2600"/>
        <w:spacing w:after="0" w:line="269" w:lineRule="auto"/>
        <w:tabs>
          <w:tab w:leader="none" w:pos="342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such registration statement becomes effective, notify each selling Holder of any request by the SEC that the Company amend or supplement such registration statement or prospectus.</w:t>
      </w:r>
    </w:p>
    <w:p>
      <w:pPr>
        <w:spacing w:after="0" w:line="159" w:lineRule="exact"/>
        <w:rPr>
          <w:sz w:val="20"/>
          <w:szCs w:val="20"/>
          <w:color w:val="auto"/>
        </w:rPr>
      </w:pPr>
    </w:p>
    <w:p>
      <w:pPr>
        <w:jc w:val="both"/>
        <w:ind w:firstLine="1727"/>
        <w:spacing w:after="0" w:line="254" w:lineRule="auto"/>
        <w:rPr>
          <w:sz w:val="20"/>
          <w:szCs w:val="20"/>
          <w:color w:val="auto"/>
        </w:rPr>
      </w:pPr>
      <w:r>
        <w:rPr>
          <w:rFonts w:ascii="Times New Roman" w:cs="Times New Roman" w:eastAsia="Times New Roman" w:hAnsi="Times New Roman"/>
          <w:sz w:val="20"/>
          <w:szCs w:val="20"/>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74" w:lineRule="exact"/>
        <w:rPr>
          <w:sz w:val="20"/>
          <w:szCs w:val="20"/>
          <w:color w:val="auto"/>
        </w:rPr>
      </w:pPr>
    </w:p>
    <w:p>
      <w:pPr>
        <w:jc w:val="both"/>
        <w:ind w:left="880" w:firstLine="1594"/>
        <w:spacing w:after="0" w:line="249"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Furnish Information</w:t>
      </w:r>
      <w:r>
        <w:rPr>
          <w:rFonts w:ascii="Times New Roman" w:cs="Times New Roman" w:eastAsia="Times New Roman" w:hAnsi="Times New Roman"/>
          <w:sz w:val="20"/>
          <w:szCs w:val="20"/>
          <w:color w:val="auto"/>
        </w:rPr>
        <w:t xml:space="preserve">. It shall be a condition precedent to the obligations of the Company to take any action pursuant to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0" w:lineRule="exact"/>
        <w:rPr>
          <w:sz w:val="20"/>
          <w:szCs w:val="20"/>
          <w:color w:val="auto"/>
        </w:rPr>
      </w:pPr>
    </w:p>
    <w:p>
      <w:pPr>
        <w:jc w:val="both"/>
        <w:ind w:left="880" w:firstLine="1594"/>
        <w:spacing w:after="0" w:line="241"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Expenses of Registration</w:t>
      </w:r>
      <w:r>
        <w:rPr>
          <w:rFonts w:ascii="Times New Roman" w:cs="Times New Roman" w:eastAsia="Times New Roman" w:hAnsi="Times New Roman"/>
          <w:sz w:val="20"/>
          <w:szCs w:val="20"/>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including all registration, filing, and qualification fees; printers’ and accounting fees; fees and disbursements of counsel for the Company; and the reasonable fees and disbursements, not to exceed $50,000, of one counsel for the selling Holders (“</w:t>
      </w:r>
      <w:r>
        <w:rPr>
          <w:rFonts w:ascii="Times New Roman" w:cs="Times New Roman" w:eastAsia="Times New Roman" w:hAnsi="Times New Roman"/>
          <w:sz w:val="20"/>
          <w:szCs w:val="20"/>
          <w:b w:val="1"/>
          <w:bCs w:val="1"/>
          <w:i w:val="1"/>
          <w:iCs w:val="1"/>
          <w:color w:val="auto"/>
        </w:rPr>
        <w:t>Selling Holder Counsel</w:t>
      </w:r>
      <w:r>
        <w:rPr>
          <w:rFonts w:ascii="Times New Roman" w:cs="Times New Roman" w:eastAsia="Times New Roman" w:hAnsi="Times New Roman"/>
          <w:sz w:val="20"/>
          <w:szCs w:val="20"/>
          <w:color w:val="auto"/>
        </w:rPr>
        <w:t xml:space="preserve">”), shall be borne and paid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shall not be required to pay for any expenses of any registration proceeding begun pursuant to </w:t>
      </w:r>
      <w:r>
        <w:rPr>
          <w:rFonts w:ascii="Times New Roman" w:cs="Times New Roman" w:eastAsia="Times New Roman" w:hAnsi="Times New Roman"/>
          <w:sz w:val="20"/>
          <w:szCs w:val="20"/>
          <w:u w:val="single" w:color="auto"/>
          <w:color w:val="auto"/>
        </w:rPr>
        <w:t>Subsection 2.1</w:t>
      </w:r>
      <w:r>
        <w:rPr>
          <w:rFonts w:ascii="Times New Roman" w:cs="Times New Roman" w:eastAsia="Times New Roman" w:hAnsi="Times New Roman"/>
          <w:sz w:val="20"/>
          <w:szCs w:val="20"/>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20"/>
          <w:szCs w:val="20"/>
          <w:u w:val="single" w:color="auto"/>
          <w:color w:val="auto"/>
        </w:rPr>
        <w:t>Subsections 2.1(a)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2.1(b)</w:t>
      </w:r>
      <w:r>
        <w:rPr>
          <w:rFonts w:ascii="Times New Roman" w:cs="Times New Roman" w:eastAsia="Times New Roman" w:hAnsi="Times New Roman"/>
          <w:sz w:val="20"/>
          <w:szCs w:val="20"/>
          <w:color w:val="auto"/>
        </w:rPr>
        <w:t xml:space="preserve">, as the case may be. All Selling Expenses relating to Registrable Securities registered pursuant to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shall be borne and paid by the Holders pro rata on the basis of the number of Registrable Securities registered on their behalf.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6" w:name="page97"/>
    <w:bookmarkEnd w:id="96"/>
    <w:p>
      <w:pPr>
        <w:jc w:val="both"/>
        <w:ind w:left="880" w:firstLine="1594"/>
        <w:spacing w:after="0" w:line="254"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Delay of Registration</w:t>
      </w:r>
      <w:r>
        <w:rPr>
          <w:rFonts w:ascii="Times New Roman" w:cs="Times New Roman" w:eastAsia="Times New Roman" w:hAnsi="Times New Roman"/>
          <w:sz w:val="20"/>
          <w:szCs w:val="20"/>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2460"/>
        <w:spacing w:after="0"/>
        <w:tabs>
          <w:tab w:leader="none" w:pos="334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If any Registrable Securities are included in a registration statement under this</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2600"/>
        <w:spacing w:after="0" w:line="242" w:lineRule="auto"/>
        <w:tabs>
          <w:tab w:leader="none" w:pos="34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indemnity agreement contained in this </w:t>
      </w:r>
      <w:r>
        <w:rPr>
          <w:rFonts w:ascii="Times New Roman" w:cs="Times New Roman" w:eastAsia="Times New Roman" w:hAnsi="Times New Roman"/>
          <w:sz w:val="20"/>
          <w:szCs w:val="20"/>
          <w:u w:val="single" w:color="auto"/>
          <w:color w:val="auto"/>
        </w:rPr>
        <w:t>Subsection 2.8(a)</w:t>
      </w:r>
      <w:r>
        <w:rPr>
          <w:rFonts w:ascii="Times New Roman" w:cs="Times New Roman" w:eastAsia="Times New Roman" w:hAnsi="Times New Roman"/>
          <w:sz w:val="20"/>
          <w:szCs w:val="20"/>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89" w:lineRule="exact"/>
        <w:rPr>
          <w:rFonts w:ascii="Times New Roman" w:cs="Times New Roman" w:eastAsia="Times New Roman" w:hAnsi="Times New Roman"/>
          <w:sz w:val="20"/>
          <w:szCs w:val="20"/>
          <w:color w:val="auto"/>
        </w:rPr>
      </w:pPr>
    </w:p>
    <w:p>
      <w:pPr>
        <w:jc w:val="both"/>
        <w:ind w:firstLine="2600"/>
        <w:spacing w:after="0" w:line="241" w:lineRule="auto"/>
        <w:tabs>
          <w:tab w:leader="none" w:pos="347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indemnity agreement contained in this </w:t>
      </w:r>
      <w:r>
        <w:rPr>
          <w:rFonts w:ascii="Times New Roman" w:cs="Times New Roman" w:eastAsia="Times New Roman" w:hAnsi="Times New Roman"/>
          <w:sz w:val="20"/>
          <w:szCs w:val="20"/>
          <w:u w:val="single" w:color="auto"/>
          <w:color w:val="auto"/>
        </w:rPr>
        <w:t>Subsection 2.8(b)</w:t>
      </w:r>
      <w:r>
        <w:rPr>
          <w:rFonts w:ascii="Times New Roman" w:cs="Times New Roman" w:eastAsia="Times New Roman" w:hAnsi="Times New Roman"/>
          <w:sz w:val="20"/>
          <w:szCs w:val="20"/>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no event shall the aggregate amounts payable by any Holder by way of indemnity or contribution under </w:t>
      </w:r>
      <w:r>
        <w:rPr>
          <w:rFonts w:ascii="Times New Roman" w:cs="Times New Roman" w:eastAsia="Times New Roman" w:hAnsi="Times New Roman"/>
          <w:sz w:val="20"/>
          <w:szCs w:val="20"/>
          <w:u w:val="single" w:color="auto"/>
          <w:color w:val="auto"/>
        </w:rPr>
        <w:t>Subsections 2.8(b)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2.8(d)</w:t>
      </w:r>
      <w:r>
        <w:rPr>
          <w:rFonts w:ascii="Times New Roman" w:cs="Times New Roman" w:eastAsia="Times New Roman" w:hAnsi="Times New Roman"/>
          <w:sz w:val="20"/>
          <w:szCs w:val="20"/>
          <w:color w:val="auto"/>
        </w:rPr>
        <w:t xml:space="preserve"> exceed the proceeds from the offering received by such Holder (net of any Selling Expenses paid by such Holder), except in the case of fraud or willful misconduct by such Holder.</w:t>
      </w:r>
    </w:p>
    <w:p>
      <w:pPr>
        <w:spacing w:after="0" w:line="197" w:lineRule="exact"/>
        <w:rPr>
          <w:rFonts w:ascii="Times New Roman" w:cs="Times New Roman" w:eastAsia="Times New Roman" w:hAnsi="Times New Roman"/>
          <w:sz w:val="20"/>
          <w:szCs w:val="20"/>
          <w:color w:val="auto"/>
        </w:rPr>
      </w:pPr>
    </w:p>
    <w:p>
      <w:pPr>
        <w:jc w:val="both"/>
        <w:ind w:firstLine="2600"/>
        <w:spacing w:after="0" w:line="247" w:lineRule="auto"/>
        <w:tabs>
          <w:tab w:leader="none" w:pos="34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by an indemnified party under this </w:t>
      </w:r>
      <w:r>
        <w:rPr>
          <w:rFonts w:ascii="Times New Roman" w:cs="Times New Roman" w:eastAsia="Times New Roman" w:hAnsi="Times New Roman"/>
          <w:sz w:val="20"/>
          <w:szCs w:val="20"/>
          <w:u w:val="single" w:color="auto"/>
          <w:color w:val="auto"/>
        </w:rPr>
        <w:t>Subsection 2.8</w:t>
      </w:r>
      <w:r>
        <w:rPr>
          <w:rFonts w:ascii="Times New Roman" w:cs="Times New Roman" w:eastAsia="Times New Roman" w:hAnsi="Times New Roman"/>
          <w:sz w:val="20"/>
          <w:szCs w:val="20"/>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20"/>
          <w:szCs w:val="20"/>
          <w:u w:val="single" w:color="auto"/>
          <w:color w:val="auto"/>
        </w:rPr>
        <w:t>Subsection 2.8</w:t>
      </w:r>
      <w:r>
        <w:rPr>
          <w:rFonts w:ascii="Times New Roman" w:cs="Times New Roman" w:eastAsia="Times New Roman" w:hAnsi="Times New Roman"/>
          <w:sz w:val="20"/>
          <w:szCs w:val="20"/>
          <w:color w:val="auto"/>
        </w:rPr>
        <w:t>, give the</w:t>
      </w:r>
    </w:p>
    <w:p>
      <w:pPr>
        <w:jc w:val="both"/>
        <w:spacing w:after="0" w:line="239" w:lineRule="auto"/>
        <w:rPr>
          <w:sz w:val="20"/>
          <w:szCs w:val="20"/>
          <w:color w:val="auto"/>
        </w:rPr>
      </w:pPr>
      <w:r>
        <w:rPr>
          <w:rFonts w:ascii="Times New Roman" w:cs="Times New Roman" w:eastAsia="Times New Roman" w:hAnsi="Times New Roman"/>
          <w:sz w:val="20"/>
          <w:szCs w:val="20"/>
          <w:color w:val="auto"/>
        </w:rPr>
        <w:t>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7" w:name="page98"/>
    <w:bookmarkEnd w:id="97"/>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20"/>
          <w:szCs w:val="20"/>
          <w:u w:val="single" w:color="auto"/>
          <w:color w:val="auto"/>
        </w:rPr>
        <w:t>Subsection 2.8</w:t>
      </w:r>
      <w:r>
        <w:rPr>
          <w:rFonts w:ascii="Times New Roman" w:cs="Times New Roman" w:eastAsia="Times New Roman" w:hAnsi="Times New Roman"/>
          <w:sz w:val="20"/>
          <w:szCs w:val="20"/>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20"/>
          <w:szCs w:val="20"/>
          <w:u w:val="single" w:color="auto"/>
          <w:color w:val="auto"/>
        </w:rPr>
        <w:t>Subsection 2.8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2600"/>
        <w:spacing w:after="0" w:line="241" w:lineRule="auto"/>
        <w:tabs>
          <w:tab w:leader="none" w:pos="347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20"/>
          <w:szCs w:val="20"/>
          <w:u w:val="single" w:color="auto"/>
          <w:color w:val="auto"/>
        </w:rPr>
        <w:t>Subsection 2.8</w:t>
      </w:r>
      <w:r>
        <w:rPr>
          <w:rFonts w:ascii="Times New Roman" w:cs="Times New Roman" w:eastAsia="Times New Roman" w:hAnsi="Times New Roman"/>
          <w:sz w:val="20"/>
          <w:szCs w:val="20"/>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20"/>
          <w:szCs w:val="20"/>
          <w:u w:val="single" w:color="auto"/>
          <w:color w:val="auto"/>
        </w:rPr>
        <w:t>Subsection 2.8</w:t>
      </w:r>
      <w:r>
        <w:rPr>
          <w:rFonts w:ascii="Times New Roman" w:cs="Times New Roman" w:eastAsia="Times New Roman" w:hAnsi="Times New Roman"/>
          <w:sz w:val="20"/>
          <w:szCs w:val="20"/>
          <w:color w:val="auto"/>
        </w:rPr>
        <w:t xml:space="preserve"> provides for indemnification in such case, or (ii) contribution under the Securities Act may be required on the part of any party hereto for which indemnification is provided under this </w:t>
      </w:r>
      <w:r>
        <w:rPr>
          <w:rFonts w:ascii="Times New Roman" w:cs="Times New Roman" w:eastAsia="Times New Roman" w:hAnsi="Times New Roman"/>
          <w:sz w:val="20"/>
          <w:szCs w:val="20"/>
          <w:u w:val="single" w:color="auto"/>
          <w:color w:val="auto"/>
        </w:rPr>
        <w:t>Subsection 2.8</w:t>
      </w:r>
      <w:r>
        <w:rPr>
          <w:rFonts w:ascii="Times New Roman" w:cs="Times New Roman" w:eastAsia="Times New Roman" w:hAnsi="Times New Roman"/>
          <w:sz w:val="20"/>
          <w:szCs w:val="20"/>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no event shall a Holder’s liability pursuant to this </w:t>
      </w:r>
      <w:r>
        <w:rPr>
          <w:rFonts w:ascii="Times New Roman" w:cs="Times New Roman" w:eastAsia="Times New Roman" w:hAnsi="Times New Roman"/>
          <w:sz w:val="20"/>
          <w:szCs w:val="20"/>
          <w:u w:val="single" w:color="auto"/>
          <w:color w:val="auto"/>
        </w:rPr>
        <w:t>Subsection 2.8(d)</w:t>
      </w:r>
      <w:r>
        <w:rPr>
          <w:rFonts w:ascii="Times New Roman" w:cs="Times New Roman" w:eastAsia="Times New Roman" w:hAnsi="Times New Roman"/>
          <w:sz w:val="20"/>
          <w:szCs w:val="20"/>
          <w:color w:val="auto"/>
        </w:rPr>
        <w:t xml:space="preserve">, when combined with the amounts paid or payable by such Holder pursuant to </w:t>
      </w:r>
      <w:r>
        <w:rPr>
          <w:rFonts w:ascii="Times New Roman" w:cs="Times New Roman" w:eastAsia="Times New Roman" w:hAnsi="Times New Roman"/>
          <w:sz w:val="20"/>
          <w:szCs w:val="20"/>
          <w:u w:val="single" w:color="auto"/>
          <w:color w:val="auto"/>
        </w:rPr>
        <w:t>Subsection 2.8(b)</w:t>
      </w:r>
      <w:r>
        <w:rPr>
          <w:rFonts w:ascii="Times New Roman" w:cs="Times New Roman" w:eastAsia="Times New Roman" w:hAnsi="Times New Roman"/>
          <w:sz w:val="20"/>
          <w:szCs w:val="20"/>
          <w:color w:val="auto"/>
        </w:rPr>
        <w:t>, exceed the proceeds from the offering received by such Holder (net of any Selling Expenses paid by such Holder), except in the case of willful misconduct or fraud by such Holder.</w:t>
      </w:r>
    </w:p>
    <w:p>
      <w:pPr>
        <w:spacing w:after="0" w:line="188" w:lineRule="exact"/>
        <w:rPr>
          <w:rFonts w:ascii="Times New Roman" w:cs="Times New Roman" w:eastAsia="Times New Roman" w:hAnsi="Times New Roman"/>
          <w:sz w:val="20"/>
          <w:szCs w:val="20"/>
          <w:color w:val="auto"/>
        </w:rPr>
      </w:pPr>
    </w:p>
    <w:p>
      <w:pPr>
        <w:jc w:val="both"/>
        <w:ind w:firstLine="2600"/>
        <w:spacing w:after="0" w:line="247" w:lineRule="auto"/>
        <w:tabs>
          <w:tab w:leader="none" w:pos="34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8" w:name="page99"/>
    <w:bookmarkEnd w:id="98"/>
    <w:p>
      <w:pPr>
        <w:jc w:val="both"/>
        <w:ind w:firstLine="2600"/>
        <w:spacing w:after="0" w:line="254" w:lineRule="auto"/>
        <w:tabs>
          <w:tab w:leader="none" w:pos="343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20"/>
          <w:szCs w:val="20"/>
          <w:u w:val="single" w:color="auto"/>
          <w:color w:val="auto"/>
        </w:rPr>
        <w:t>Subsection 2.8</w:t>
      </w:r>
      <w:r>
        <w:rPr>
          <w:rFonts w:ascii="Times New Roman" w:cs="Times New Roman" w:eastAsia="Times New Roman" w:hAnsi="Times New Roman"/>
          <w:sz w:val="20"/>
          <w:szCs w:val="20"/>
          <w:color w:val="auto"/>
        </w:rPr>
        <w:t xml:space="preserve"> shall survive the completion of any offering of Registrable Securities in a registration under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and otherwise shall survive the termination of this Agreement.</w:t>
      </w:r>
    </w:p>
    <w:p>
      <w:pPr>
        <w:spacing w:after="0" w:line="174" w:lineRule="exact"/>
        <w:rPr>
          <w:sz w:val="20"/>
          <w:szCs w:val="20"/>
          <w:color w:val="auto"/>
        </w:rPr>
      </w:pPr>
    </w:p>
    <w:p>
      <w:pPr>
        <w:jc w:val="both"/>
        <w:ind w:left="880" w:firstLine="1594"/>
        <w:spacing w:after="0" w:line="251" w:lineRule="exact"/>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Reports Under Exchange Act</w:t>
      </w:r>
      <w:r>
        <w:rPr>
          <w:rFonts w:ascii="Times New Roman" w:cs="Times New Roman" w:eastAsia="Times New Roman" w:hAnsi="Times New Roman"/>
          <w:sz w:val="20"/>
          <w:szCs w:val="20"/>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3, the Company shall:</w:t>
      </w:r>
    </w:p>
    <w:p>
      <w:pPr>
        <w:spacing w:after="0" w:line="168" w:lineRule="exact"/>
        <w:rPr>
          <w:sz w:val="20"/>
          <w:szCs w:val="20"/>
          <w:color w:val="auto"/>
        </w:rPr>
      </w:pPr>
    </w:p>
    <w:p>
      <w:pPr>
        <w:ind w:left="3460" w:hanging="860"/>
        <w:spacing w:after="0"/>
        <w:tabs>
          <w:tab w:leader="none" w:pos="34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and keep available adequate current public information, as those terms are understood and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in SEC Rule 144, at all times after the effective date of the registration statement filed by the Company for the IPO;</w:t>
      </w:r>
    </w:p>
    <w:p>
      <w:pPr>
        <w:spacing w:after="0" w:line="193" w:lineRule="exact"/>
        <w:rPr>
          <w:rFonts w:ascii="Times New Roman" w:cs="Times New Roman" w:eastAsia="Times New Roman" w:hAnsi="Times New Roman"/>
          <w:sz w:val="20"/>
          <w:szCs w:val="20"/>
          <w:color w:val="auto"/>
        </w:rPr>
      </w:pPr>
    </w:p>
    <w:p>
      <w:pPr>
        <w:jc w:val="both"/>
        <w:ind w:firstLine="2600"/>
        <w:spacing w:after="0" w:line="254" w:lineRule="auto"/>
        <w:tabs>
          <w:tab w:leader="none" w:pos="3471"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74" w:lineRule="exact"/>
        <w:rPr>
          <w:rFonts w:ascii="Times New Roman" w:cs="Times New Roman" w:eastAsia="Times New Roman" w:hAnsi="Times New Roman"/>
          <w:sz w:val="20"/>
          <w:szCs w:val="20"/>
          <w:color w:val="auto"/>
        </w:rPr>
      </w:pPr>
    </w:p>
    <w:p>
      <w:pPr>
        <w:jc w:val="both"/>
        <w:ind w:firstLine="2600"/>
        <w:spacing w:after="0" w:line="239" w:lineRule="exact"/>
        <w:tabs>
          <w:tab w:leader="none" w:pos="34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3 (at any time after the Company so qualifies to use such form).</w:t>
      </w:r>
    </w:p>
    <w:p>
      <w:pPr>
        <w:spacing w:after="0" w:line="170" w:lineRule="exact"/>
        <w:rPr>
          <w:sz w:val="20"/>
          <w:szCs w:val="20"/>
          <w:color w:val="auto"/>
        </w:rPr>
      </w:pPr>
    </w:p>
    <w:p>
      <w:pPr>
        <w:jc w:val="both"/>
        <w:ind w:left="880" w:firstLine="1594"/>
        <w:spacing w:after="0" w:line="259" w:lineRule="auto"/>
        <w:rPr>
          <w:sz w:val="20"/>
          <w:szCs w:val="20"/>
          <w:color w:val="auto"/>
        </w:rPr>
      </w:pPr>
      <w:r>
        <w:rPr>
          <w:rFonts w:ascii="Times New Roman" w:cs="Times New Roman" w:eastAsia="Times New Roman" w:hAnsi="Times New Roman"/>
          <w:sz w:val="19"/>
          <w:szCs w:val="19"/>
          <w:color w:val="auto"/>
        </w:rPr>
        <w:t xml:space="preserve">2.10 </w:t>
      </w:r>
      <w:r>
        <w:rPr>
          <w:rFonts w:ascii="Times New Roman" w:cs="Times New Roman" w:eastAsia="Times New Roman" w:hAnsi="Times New Roman"/>
          <w:sz w:val="19"/>
          <w:szCs w:val="19"/>
          <w:u w:val="single" w:color="auto"/>
          <w:color w:val="auto"/>
        </w:rPr>
        <w:t>Limitations on Subsequent Registration Rights</w:t>
      </w:r>
      <w:r>
        <w:rPr>
          <w:rFonts w:ascii="Times New Roman" w:cs="Times New Roman" w:eastAsia="Times New Roman" w:hAnsi="Times New Roman"/>
          <w:sz w:val="19"/>
          <w:szCs w:val="19"/>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limitation shall not apply to Registrable Securities acquired by any additional Investor that becomes a party to this Agreement in accordance with </w:t>
      </w:r>
      <w:r>
        <w:rPr>
          <w:rFonts w:ascii="Times New Roman" w:cs="Times New Roman" w:eastAsia="Times New Roman" w:hAnsi="Times New Roman"/>
          <w:sz w:val="19"/>
          <w:szCs w:val="19"/>
          <w:u w:val="single" w:color="auto"/>
          <w:color w:val="auto"/>
        </w:rPr>
        <w:t>Subsection 6.9</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jc w:val="both"/>
        <w:ind w:left="880" w:firstLine="1594"/>
        <w:spacing w:after="0" w:line="239" w:lineRule="exact"/>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“Market Stand</w:t>
      </w:r>
      <w:r>
        <w:rPr>
          <w:rFonts w:ascii="MS PGothic" w:cs="MS PGothic" w:eastAsia="MS PGothic" w:hAnsi="MS PGothic"/>
          <w:sz w:val="20"/>
          <w:szCs w:val="20"/>
          <w:u w:val="single" w:color="auto"/>
          <w:color w:val="auto"/>
        </w:rPr>
        <w:t>‑</w:t>
      </w:r>
      <w:r>
        <w:rPr>
          <w:rFonts w:ascii="Times New Roman" w:cs="Times New Roman" w:eastAsia="Times New Roman" w:hAnsi="Times New Roman"/>
          <w:sz w:val="20"/>
          <w:szCs w:val="20"/>
          <w:u w:val="single" w:color="auto"/>
          <w:color w:val="auto"/>
        </w:rPr>
        <w:t>off” Agreement</w:t>
      </w:r>
      <w:r>
        <w:rPr>
          <w:rFonts w:ascii="Times New Roman" w:cs="Times New Roman" w:eastAsia="Times New Roman" w:hAnsi="Times New Roman"/>
          <w:sz w:val="20"/>
          <w:szCs w:val="20"/>
          <w:color w:val="auto"/>
        </w:rPr>
        <w:t>. Each Holder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in connection with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9" w:name="page100"/>
    <w:bookmarkEnd w:id="99"/>
    <w:p>
      <w:pPr>
        <w:jc w:val="both"/>
        <w:ind w:left="880"/>
        <w:spacing w:after="0" w:line="231" w:lineRule="exact"/>
        <w:rPr>
          <w:sz w:val="20"/>
          <w:szCs w:val="20"/>
          <w:color w:val="auto"/>
        </w:rPr>
      </w:pPr>
      <w:r>
        <w:rPr>
          <w:rFonts w:ascii="Times New Roman" w:cs="Times New Roman" w:eastAsia="Times New Roman" w:hAnsi="Times New Roman"/>
          <w:sz w:val="20"/>
          <w:szCs w:val="20"/>
          <w:color w:val="auto"/>
        </w:rPr>
        <w:t xml:space="preserve">including, but not limited to, the restrictions contained in applicable FINRA rules,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 w:cs="Times New Roman" w:eastAsia="Times New Roman" w:hAnsi="Times New Roman"/>
          <w:sz w:val="20"/>
          <w:szCs w:val="20"/>
          <w:u w:val="single" w:color="auto"/>
          <w:color w:val="auto"/>
        </w:rPr>
        <w:t>Subsection 2.11</w:t>
      </w:r>
      <w:r>
        <w:rPr>
          <w:rFonts w:ascii="Times New Roman" w:cs="Times New Roman" w:eastAsia="Times New Roman" w:hAnsi="Times New Roman"/>
          <w:sz w:val="20"/>
          <w:szCs w:val="20"/>
          <w:color w:val="auto"/>
        </w:rPr>
        <w:t xml:space="preserve"> shall apply only to the IPO, shall not apply to the sale of any shares to an underwriter pursuant to an underwriting agreement, or the transfer of any shares to any trust for the direct or indirect benefit of the Holder or the immediate family of the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trustee of the trust agrees to be bound in writing by the restrictions set forth herein,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one percent (1%) of the Company’s outstanding Common Stock (after giving effect to conversion into Common Stock of all outstanding Preferred Stock. The underwriters in connection with such registration are intended third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party beneficiaries of this </w:t>
      </w:r>
      <w:r>
        <w:rPr>
          <w:rFonts w:ascii="Times New Roman" w:cs="Times New Roman" w:eastAsia="Times New Roman" w:hAnsi="Times New Roman"/>
          <w:sz w:val="20"/>
          <w:szCs w:val="20"/>
          <w:u w:val="single" w:color="auto"/>
          <w:color w:val="auto"/>
        </w:rPr>
        <w:t>Subsection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20"/>
          <w:szCs w:val="20"/>
          <w:u w:val="single" w:color="auto"/>
          <w:color w:val="auto"/>
        </w:rPr>
        <w:t>Subsection 2.11</w:t>
      </w:r>
      <w:r>
        <w:rPr>
          <w:rFonts w:ascii="Times New Roman" w:cs="Times New Roman" w:eastAsia="Times New Roman" w:hAnsi="Times New Roman"/>
          <w:sz w:val="20"/>
          <w:szCs w:val="20"/>
          <w:color w:val="auto"/>
        </w:rPr>
        <w:t xml:space="preserve"> or that are necessary to give further effect thereto. Any discretionary waiver or termination of the restrictions of any or all of such agreements by the Company or the underwriters shall apply pro rata to all Company stockholders that are subject to such agreements, based on the number of shares subject to such agreements, except that, notwithstanding the foregoing, the Company and the underwriters may, in their sole discretion, waive or terminate these restrictions with respect to up to three percent (3%) of the outstanding shares of Common Stock.</w:t>
      </w:r>
    </w:p>
    <w:p>
      <w:pPr>
        <w:spacing w:after="0" w:line="198" w:lineRule="exact"/>
        <w:rPr>
          <w:sz w:val="20"/>
          <w:szCs w:val="20"/>
          <w:color w:val="auto"/>
        </w:rPr>
      </w:pPr>
    </w:p>
    <w:p>
      <w:pPr>
        <w:ind w:left="2460"/>
        <w:spacing w:after="0"/>
        <w:tabs>
          <w:tab w:leader="none" w:pos="34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Restrictions on Transfer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2600"/>
        <w:spacing w:after="0" w:line="245" w:lineRule="auto"/>
        <w:tabs>
          <w:tab w:leader="none" w:pos="34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84" w:lineRule="exact"/>
        <w:rPr>
          <w:rFonts w:ascii="Times New Roman" w:cs="Times New Roman" w:eastAsia="Times New Roman" w:hAnsi="Times New Roman"/>
          <w:sz w:val="20"/>
          <w:szCs w:val="20"/>
          <w:color w:val="auto"/>
        </w:rPr>
      </w:pPr>
    </w:p>
    <w:p>
      <w:pPr>
        <w:jc w:val="both"/>
        <w:ind w:firstLine="2600"/>
        <w:spacing w:after="0" w:line="247" w:lineRule="auto"/>
        <w:tabs>
          <w:tab w:leader="none" w:pos="347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20"/>
          <w:szCs w:val="20"/>
          <w:u w:val="single" w:color="auto"/>
          <w:color w:val="auto"/>
        </w:rPr>
        <w:t>Subsection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2.12(c)</w:t>
      </w:r>
      <w:r>
        <w:rPr>
          <w:rFonts w:ascii="Times New Roman" w:cs="Times New Roman" w:eastAsia="Times New Roman" w:hAnsi="Times New Roman"/>
          <w:sz w:val="20"/>
          <w:szCs w:val="20"/>
          <w:color w:val="auto"/>
        </w:rPr>
        <w:t>) be notated with a legend substantially in the following form:</w:t>
      </w: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0" w:name="page101"/>
    <w:bookmarkEnd w:id="100"/>
    <w:p>
      <w:pPr>
        <w:jc w:val="both"/>
        <w:ind w:left="880" w:right="860"/>
        <w:spacing w:after="0" w:line="249" w:lineRule="auto"/>
        <w:rPr>
          <w:sz w:val="20"/>
          <w:szCs w:val="20"/>
          <w:color w:val="auto"/>
        </w:rPr>
      </w:pPr>
      <w:r>
        <w:rPr>
          <w:rFonts w:ascii="Times New Roman" w:cs="Times New Roman" w:eastAsia="Times New Roman" w:hAnsi="Times New Roman"/>
          <w:sz w:val="20"/>
          <w:szCs w:val="20"/>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180" w:lineRule="exact"/>
        <w:rPr>
          <w:sz w:val="20"/>
          <w:szCs w:val="20"/>
          <w:color w:val="auto"/>
        </w:rPr>
      </w:pPr>
    </w:p>
    <w:p>
      <w:pPr>
        <w:jc w:val="both"/>
        <w:ind w:left="880" w:right="880"/>
        <w:spacing w:after="0" w:line="254" w:lineRule="auto"/>
        <w:rPr>
          <w:sz w:val="20"/>
          <w:szCs w:val="20"/>
          <w:color w:val="auto"/>
        </w:rPr>
      </w:pPr>
      <w:r>
        <w:rPr>
          <w:rFonts w:ascii="Times New Roman" w:cs="Times New Roman" w:eastAsia="Times New Roman" w:hAnsi="Times New Roman"/>
          <w:sz w:val="20"/>
          <w:szCs w:val="20"/>
          <w:color w:val="auto"/>
        </w:rPr>
        <w:t>THE SECURITIES REPRESENTED HEREBY MAY BE TRANSFERRED ONLY IN ACCORDANCE WITH THE TERMS OF AN AGREEMENT BETWEEN THE COMPANY AND THE STOCKHOLDER, A COPY OF WHICH IS ON FILE WITH THE SECRETARY OF THE COMPANY.</w:t>
      </w:r>
    </w:p>
    <w:p>
      <w:pPr>
        <w:spacing w:after="0" w:line="174" w:lineRule="exact"/>
        <w:rPr>
          <w:sz w:val="20"/>
          <w:szCs w:val="20"/>
          <w:color w:val="auto"/>
        </w:rPr>
      </w:pPr>
    </w:p>
    <w:p>
      <w:pPr>
        <w:ind w:firstLine="1727"/>
        <w:spacing w:after="0" w:line="269" w:lineRule="auto"/>
        <w:rPr>
          <w:sz w:val="20"/>
          <w:szCs w:val="20"/>
          <w:color w:val="auto"/>
        </w:rPr>
      </w:pPr>
      <w:r>
        <w:rPr>
          <w:rFonts w:ascii="Times New Roman" w:cs="Times New Roman" w:eastAsia="Times New Roman" w:hAnsi="Times New Roman"/>
          <w:sz w:val="20"/>
          <w:szCs w:val="20"/>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20"/>
          <w:szCs w:val="20"/>
          <w:u w:val="single" w:color="auto"/>
          <w:color w:val="auto"/>
        </w:rPr>
        <w:t>Subsection 2.12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2600"/>
        <w:spacing w:after="0" w:line="241" w:lineRule="auto"/>
        <w:tabs>
          <w:tab w:leader="none" w:pos="34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transferee agrees in writing to be subject to the terms of this </w:t>
      </w:r>
      <w:r>
        <w:rPr>
          <w:rFonts w:ascii="Times New Roman" w:cs="Times New Roman" w:eastAsia="Times New Roman" w:hAnsi="Times New Roman"/>
          <w:sz w:val="20"/>
          <w:szCs w:val="20"/>
          <w:u w:val="single" w:color="auto"/>
          <w:color w:val="auto"/>
        </w:rPr>
        <w:t>Subsection 2.12</w:t>
      </w:r>
      <w:r>
        <w:rPr>
          <w:rFonts w:ascii="Times New Roman" w:cs="Times New Roman" w:eastAsia="Times New Roman" w:hAnsi="Times New Roman"/>
          <w:sz w:val="20"/>
          <w:szCs w:val="20"/>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 w:cs="Times New Roman" w:eastAsia="Times New Roman" w:hAnsi="Times New Roman"/>
          <w:sz w:val="20"/>
          <w:szCs w:val="20"/>
          <w:u w:val="single" w:color="auto"/>
          <w:color w:val="auto"/>
        </w:rPr>
        <w:t>Subsection 2.12(b)</w:t>
      </w:r>
      <w:r>
        <w:rPr>
          <w:rFonts w:ascii="Times New Roman" w:cs="Times New Roman" w:eastAsia="Times New Roman" w:hAnsi="Times New Roman"/>
          <w:sz w:val="20"/>
          <w:szCs w:val="20"/>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89" w:lineRule="exact"/>
        <w:rPr>
          <w:sz w:val="20"/>
          <w:szCs w:val="20"/>
          <w:color w:val="auto"/>
        </w:rPr>
      </w:pPr>
    </w:p>
    <w:p>
      <w:pPr>
        <w:ind w:left="2460"/>
        <w:spacing w:after="0"/>
        <w:tabs>
          <w:tab w:leader="none" w:pos="344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Termination of Registration Rights</w:t>
      </w:r>
      <w:r>
        <w:rPr>
          <w:rFonts w:ascii="Times New Roman" w:cs="Times New Roman" w:eastAsia="Times New Roman" w:hAnsi="Times New Roman"/>
          <w:sz w:val="19"/>
          <w:szCs w:val="19"/>
          <w:color w:val="auto"/>
        </w:rPr>
        <w:t>. The right of any Holder to request registration or inclusion of</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Registrable Securities in any registration pursuant to </w:t>
      </w:r>
      <w:r>
        <w:rPr>
          <w:rFonts w:ascii="Times New Roman" w:cs="Times New Roman" w:eastAsia="Times New Roman" w:hAnsi="Times New Roman"/>
          <w:sz w:val="20"/>
          <w:szCs w:val="20"/>
          <w:u w:val="single" w:color="auto"/>
          <w:color w:val="auto"/>
        </w:rPr>
        <w:t>Subsections 2.1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w:t>
      </w:r>
      <w:r>
        <w:rPr>
          <w:rFonts w:ascii="Times New Roman" w:cs="Times New Roman" w:eastAsia="Times New Roman" w:hAnsi="Times New Roman"/>
          <w:sz w:val="20"/>
          <w:szCs w:val="20"/>
          <w:color w:val="auto"/>
        </w:rPr>
        <w:t xml:space="preserve"> shall terminate upon the earliest to occur of:</w:t>
      </w: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1" w:name="page102"/>
    <w:bookmarkEnd w:id="101"/>
    <w:p>
      <w:pPr>
        <w:ind w:left="2600"/>
        <w:spacing w:after="0"/>
        <w:tabs>
          <w:tab w:leader="none" w:pos="34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the closing of a Deemed Liquidation Event, as such term is defined in the Certificate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Incorporation;</w:t>
      </w:r>
    </w:p>
    <w:p>
      <w:pPr>
        <w:spacing w:after="0" w:line="194" w:lineRule="exact"/>
        <w:rPr>
          <w:sz w:val="20"/>
          <w:szCs w:val="20"/>
          <w:color w:val="auto"/>
        </w:rPr>
      </w:pPr>
    </w:p>
    <w:p>
      <w:pPr>
        <w:ind w:firstLine="2600"/>
        <w:spacing w:after="0" w:line="269" w:lineRule="auto"/>
        <w:tabs>
          <w:tab w:leader="none" w:pos="347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time after consummation of the IPO as Rule 144 or another similar exemption under the Securities Act is available for the sale of all of such Holder’s shares without limitation during a three-month period without registration;</w:t>
      </w:r>
    </w:p>
    <w:p>
      <w:pPr>
        <w:spacing w:after="0" w:line="159" w:lineRule="exact"/>
        <w:rPr>
          <w:rFonts w:ascii="Times New Roman" w:cs="Times New Roman" w:eastAsia="Times New Roman" w:hAnsi="Times New Roman"/>
          <w:sz w:val="20"/>
          <w:szCs w:val="20"/>
          <w:color w:val="auto"/>
        </w:rPr>
      </w:pPr>
    </w:p>
    <w:p>
      <w:pPr>
        <w:ind w:left="3460" w:hanging="860"/>
        <w:spacing w:after="0"/>
        <w:tabs>
          <w:tab w:leader="none" w:pos="34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third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0"/>
          <w:szCs w:val="20"/>
          <w:color w:val="auto"/>
        </w:rPr>
        <w:t>) anniversary of the IPO.</w:t>
      </w:r>
    </w:p>
    <w:p>
      <w:pPr>
        <w:spacing w:after="0" w:line="216" w:lineRule="exact"/>
        <w:rPr>
          <w:sz w:val="20"/>
          <w:szCs w:val="20"/>
          <w:color w:val="auto"/>
        </w:rPr>
      </w:pPr>
    </w:p>
    <w:p>
      <w:pPr>
        <w:ind w:left="1660" w:hanging="788"/>
        <w:spacing w:after="0"/>
        <w:tabs>
          <w:tab w:leader="none" w:pos="1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firstLine="1594"/>
        <w:spacing w:after="0" w:line="26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Delivery of Financial Statements</w:t>
      </w:r>
      <w:r>
        <w:rPr>
          <w:rFonts w:ascii="Times New Roman" w:cs="Times New Roman" w:eastAsia="Times New Roman" w:hAnsi="Times New Roman"/>
          <w:sz w:val="20"/>
          <w:szCs w:val="20"/>
          <w:color w:val="auto"/>
        </w:rPr>
        <w:t xml:space="preserve">. The Company shall deliver to each Major Investor,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Board of Directors has not reasonably determined that such Major Investor is a Competitor:</w:t>
      </w:r>
    </w:p>
    <w:p>
      <w:pPr>
        <w:spacing w:after="0" w:line="159" w:lineRule="exact"/>
        <w:rPr>
          <w:sz w:val="20"/>
          <w:szCs w:val="20"/>
          <w:color w:val="auto"/>
        </w:rPr>
      </w:pPr>
    </w:p>
    <w:p>
      <w:pPr>
        <w:jc w:val="both"/>
        <w:ind w:firstLine="2600"/>
        <w:spacing w:after="0" w:line="250" w:lineRule="auto"/>
        <w:tabs>
          <w:tab w:leader="none" w:pos="346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within one hundred twenty (120) days after the end of each fiscal year of the Company (i) a balance sheet as of the end of such year, (ii) statements of income and of cash flows for such year, and</w:t>
      </w:r>
    </w:p>
    <w:p>
      <w:pPr>
        <w:spacing w:after="0" w:line="1" w:lineRule="exact"/>
        <w:rPr>
          <w:rFonts w:ascii="Times New Roman" w:cs="Times New Roman" w:eastAsia="Times New Roman" w:hAnsi="Times New Roman"/>
          <w:sz w:val="20"/>
          <w:szCs w:val="20"/>
          <w:color w:val="auto"/>
        </w:rPr>
      </w:pPr>
    </w:p>
    <w:p>
      <w:pPr>
        <w:ind w:firstLine="8"/>
        <w:spacing w:after="0" w:line="246" w:lineRule="auto"/>
        <w:tabs>
          <w:tab w:leader="none" w:pos="35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of stockholders’ equity as of the end of such year, all such financial statements audited and certified by independent public accountants of nationally recognized standing selected by the Company;</w:t>
      </w:r>
    </w:p>
    <w:p>
      <w:pPr>
        <w:spacing w:after="0" w:line="163" w:lineRule="exact"/>
        <w:rPr>
          <w:rFonts w:ascii="Times New Roman" w:cs="Times New Roman" w:eastAsia="Times New Roman" w:hAnsi="Times New Roman"/>
          <w:sz w:val="20"/>
          <w:szCs w:val="20"/>
          <w:color w:val="auto"/>
        </w:rPr>
      </w:pPr>
    </w:p>
    <w:p>
      <w:pPr>
        <w:jc w:val="both"/>
        <w:ind w:firstLine="2600"/>
        <w:spacing w:after="0" w:line="242" w:lineRule="exact"/>
        <w:tabs>
          <w:tab w:leader="none" w:pos="347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within forty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five (45) days after the end of each quarter (including the fourth quarter)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87" w:lineRule="exact"/>
        <w:rPr>
          <w:rFonts w:ascii="Times New Roman" w:cs="Times New Roman" w:eastAsia="Times New Roman" w:hAnsi="Times New Roman"/>
          <w:sz w:val="20"/>
          <w:szCs w:val="20"/>
          <w:color w:val="auto"/>
        </w:rPr>
      </w:pPr>
    </w:p>
    <w:p>
      <w:pPr>
        <w:jc w:val="both"/>
        <w:ind w:firstLine="2600"/>
        <w:spacing w:after="0" w:line="244" w:lineRule="auto"/>
        <w:tabs>
          <w:tab w:leader="none" w:pos="34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within forty-five (45)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185" w:lineRule="exact"/>
        <w:rPr>
          <w:rFonts w:ascii="Times New Roman" w:cs="Times New Roman" w:eastAsia="Times New Roman" w:hAnsi="Times New Roman"/>
          <w:sz w:val="20"/>
          <w:szCs w:val="20"/>
          <w:color w:val="auto"/>
        </w:rPr>
      </w:pPr>
    </w:p>
    <w:p>
      <w:pPr>
        <w:jc w:val="both"/>
        <w:ind w:firstLine="2600"/>
        <w:spacing w:after="0" w:line="249" w:lineRule="auto"/>
        <w:tabs>
          <w:tab w:leader="none" w:pos="347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thirty (30) days before the end of each fiscal year, a budget and business plan for the next fiscal year (collectively, the “</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approved by the Board of Directors (including the Series B Director) and prepared on a monthly basis, including balance sheets, income statements, and statements of cash flow for such months and, promptly after prepared, any other budgets or revised budgets prepared by the Company.</w:t>
      </w:r>
    </w:p>
    <w:p>
      <w:pPr>
        <w:spacing w:after="0" w:line="180"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0"/>
          <w:szCs w:val="20"/>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2" w:name="page103"/>
    <w:bookmarkEnd w:id="102"/>
    <w:p>
      <w:pPr>
        <w:jc w:val="both"/>
        <w:ind w:firstLine="1727"/>
        <w:spacing w:after="0" w:line="263" w:lineRule="auto"/>
        <w:rPr>
          <w:sz w:val="20"/>
          <w:szCs w:val="20"/>
          <w:color w:val="auto"/>
        </w:rPr>
      </w:pPr>
      <w:r>
        <w:rPr>
          <w:rFonts w:ascii="Times New Roman" w:cs="Times New Roman" w:eastAsia="Times New Roman" w:hAnsi="Times New Roman"/>
          <w:sz w:val="19"/>
          <w:szCs w:val="19"/>
          <w:color w:val="auto"/>
        </w:rPr>
        <w:t xml:space="preserve">Notwithstanding anything else in this </w:t>
      </w:r>
      <w:r>
        <w:rPr>
          <w:rFonts w:ascii="Times New Roman" w:cs="Times New Roman" w:eastAsia="Times New Roman" w:hAnsi="Times New Roman"/>
          <w:sz w:val="19"/>
          <w:szCs w:val="19"/>
          <w:u w:val="single" w:color="auto"/>
          <w:color w:val="auto"/>
        </w:rPr>
        <w:t>Subsection 3.1</w:t>
      </w:r>
      <w:r>
        <w:rPr>
          <w:rFonts w:ascii="Times New Roman" w:cs="Times New Roman" w:eastAsia="Times New Roman" w:hAnsi="Times New Roman"/>
          <w:sz w:val="19"/>
          <w:szCs w:val="19"/>
          <w:color w:val="auto"/>
        </w:rPr>
        <w:t xml:space="preserve"> to the contrary, the Company may cease providing the information set forth in this </w:t>
      </w:r>
      <w:r>
        <w:rPr>
          <w:rFonts w:ascii="Times New Roman" w:cs="Times New Roman" w:eastAsia="Times New Roman" w:hAnsi="Times New Roman"/>
          <w:sz w:val="19"/>
          <w:szCs w:val="19"/>
          <w:u w:val="single" w:color="auto"/>
          <w:color w:val="auto"/>
        </w:rPr>
        <w:t>Subsection 3.1</w:t>
      </w:r>
      <w:r>
        <w:rPr>
          <w:rFonts w:ascii="Times New Roman" w:cs="Times New Roman" w:eastAsia="Times New Roman" w:hAnsi="Times New Roman"/>
          <w:sz w:val="19"/>
          <w:szCs w:val="19"/>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Times New Roman" w:cs="Times New Roman" w:eastAsia="Times New Roman" w:hAnsi="Times New Roman"/>
          <w:sz w:val="19"/>
          <w:szCs w:val="19"/>
          <w:u w:val="single" w:color="auto"/>
          <w:color w:val="auto"/>
        </w:rPr>
        <w:t>Subsection 3.1</w:t>
      </w:r>
      <w:r>
        <w:rPr>
          <w:rFonts w:ascii="Times New Roman" w:cs="Times New Roman" w:eastAsia="Times New Roman" w:hAnsi="Times New Roman"/>
          <w:sz w:val="19"/>
          <w:szCs w:val="19"/>
          <w:color w:val="auto"/>
        </w:rPr>
        <w:t xml:space="preserve"> shall be reinstated at such time as the Company is no longer actively employing its commercially reasonable efforts to cause such registration statement to become effective.</w:t>
      </w:r>
    </w:p>
    <w:p>
      <w:pPr>
        <w:spacing w:after="0" w:line="166" w:lineRule="exact"/>
        <w:rPr>
          <w:sz w:val="20"/>
          <w:szCs w:val="20"/>
          <w:color w:val="auto"/>
        </w:rPr>
      </w:pPr>
    </w:p>
    <w:p>
      <w:pPr>
        <w:jc w:val="both"/>
        <w:ind w:left="880" w:firstLine="1594"/>
        <w:spacing w:after="0" w:line="24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Inspection</w:t>
      </w:r>
      <w:r>
        <w:rPr>
          <w:rFonts w:ascii="Times New Roman" w:cs="Times New Roman" w:eastAsia="Times New Roman" w:hAnsi="Times New Roman"/>
          <w:sz w:val="20"/>
          <w:szCs w:val="20"/>
          <w:color w:val="auto"/>
        </w:rPr>
        <w:t xml:space="preserve">. The Company shall permit each Major Investor (provided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provided, however, that the Company shall not be obligated pursuant to this </w:t>
      </w:r>
      <w:r>
        <w:rPr>
          <w:rFonts w:ascii="Times New Roman" w:cs="Times New Roman" w:eastAsia="Times New Roman" w:hAnsi="Times New Roman"/>
          <w:sz w:val="20"/>
          <w:szCs w:val="20"/>
          <w:u w:val="single" w:color="auto"/>
          <w:color w:val="auto"/>
        </w:rPr>
        <w:t>Subsection 3.2</w:t>
      </w:r>
      <w:r>
        <w:rPr>
          <w:rFonts w:ascii="Times New Roman" w:cs="Times New Roman" w:eastAsia="Times New Roman" w:hAnsi="Times New Roman"/>
          <w:sz w:val="20"/>
          <w:szCs w:val="20"/>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89" w:lineRule="exact"/>
        <w:rPr>
          <w:sz w:val="20"/>
          <w:szCs w:val="20"/>
          <w:color w:val="auto"/>
        </w:rPr>
      </w:pPr>
    </w:p>
    <w:p>
      <w:pPr>
        <w:jc w:val="both"/>
        <w:ind w:left="880" w:firstLine="1594"/>
        <w:spacing w:after="0" w:line="249"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Termination of Information Rights</w:t>
      </w:r>
      <w:r>
        <w:rPr>
          <w:rFonts w:ascii="Times New Roman" w:cs="Times New Roman" w:eastAsia="Times New Roman" w:hAnsi="Times New Roman"/>
          <w:sz w:val="20"/>
          <w:szCs w:val="20"/>
          <w:color w:val="auto"/>
        </w:rPr>
        <w:t xml:space="preserve">. The covenants set forth in </w:t>
      </w:r>
      <w:r>
        <w:rPr>
          <w:rFonts w:ascii="Times New Roman" w:cs="Times New Roman" w:eastAsia="Times New Roman" w:hAnsi="Times New Roman"/>
          <w:sz w:val="20"/>
          <w:szCs w:val="20"/>
          <w:u w:val="single" w:color="auto"/>
          <w:color w:val="auto"/>
        </w:rPr>
        <w:t>Subsections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80" w:lineRule="exact"/>
        <w:rPr>
          <w:sz w:val="20"/>
          <w:szCs w:val="20"/>
          <w:color w:val="auto"/>
        </w:rPr>
      </w:pPr>
    </w:p>
    <w:p>
      <w:pPr>
        <w:jc w:val="both"/>
        <w:ind w:left="880" w:firstLine="1594"/>
        <w:spacing w:after="0" w:line="24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3.4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provided, however,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Section 3.4; (iii) to any Affiliate, partner, member, stockholder, or wholly owned subsidiary of such Investor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Investor informs such Person that such information is confidential and directs such Person to maintain the confidentiality of such information; or (iv) as may otherwise be required by law, regulation, rule, court order or subpoena,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Investor promptly notifies the Company of such disclosure and takes reasonable steps to minimize the extent of any such required disclosure.</w:t>
      </w: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3" w:name="page104"/>
    <w:bookmarkEnd w:id="103"/>
    <w:p>
      <w:pPr>
        <w:ind w:left="1652" w:hanging="788"/>
        <w:spacing w:after="0"/>
        <w:tabs>
          <w:tab w:leader="none" w:pos="165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to Future Stock Issuances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872" w:firstLine="1594"/>
        <w:spacing w:after="0" w:line="242"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Right of First Offer</w:t>
      </w:r>
      <w:r>
        <w:rPr>
          <w:rFonts w:ascii="Times New Roman" w:cs="Times New Roman" w:eastAsia="Times New Roman" w:hAnsi="Times New Roman"/>
          <w:sz w:val="20"/>
          <w:szCs w:val="20"/>
          <w:color w:val="auto"/>
        </w:rPr>
        <w:t xml:space="preserve">. Subject to the terms and conditions of this </w:t>
      </w:r>
      <w:r>
        <w:rPr>
          <w:rFonts w:ascii="Times New Roman" w:cs="Times New Roman" w:eastAsia="Times New Roman" w:hAnsi="Times New Roman"/>
          <w:sz w:val="20"/>
          <w:szCs w:val="20"/>
          <w:u w:val="single" w:color="auto"/>
          <w:color w:val="auto"/>
        </w:rPr>
        <w:t>Subsection 4.1</w:t>
      </w:r>
      <w:r>
        <w:rPr>
          <w:rFonts w:ascii="Times New Roman" w:cs="Times New Roman" w:eastAsia="Times New Roman" w:hAnsi="Times New Roman"/>
          <w:sz w:val="20"/>
          <w:szCs w:val="20"/>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and (ii)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such Affiliate (x) is not a Competitor or FOIA Party, unless such party’s purchase of New Securities is otherwise consented to by the Board of Directors, (y) agrees to enter into this Agreement and each of the Voting Agreement and Right of First Refusal and Co-Sale Agreement of even date herewith among the Company, the Investors and the other parties named therein, as an “</w:t>
      </w:r>
      <w:r>
        <w:rPr>
          <w:rFonts w:ascii="Times New Roman" w:cs="Times New Roman" w:eastAsia="Times New Roman" w:hAnsi="Times New Roman"/>
          <w:sz w:val="20"/>
          <w:szCs w:val="20"/>
          <w:b w:val="1"/>
          <w:bCs w:val="1"/>
          <w:i w:val="1"/>
          <w:iCs w:val="1"/>
          <w:color w:val="auto"/>
        </w:rPr>
        <w:t>Investor</w:t>
      </w:r>
      <w:r>
        <w:rPr>
          <w:rFonts w:ascii="Times New Roman" w:cs="Times New Roman" w:eastAsia="Times New Roman" w:hAnsi="Times New Roman"/>
          <w:sz w:val="20"/>
          <w:szCs w:val="20"/>
          <w:color w:val="auto"/>
        </w:rPr>
        <w:t>” under each such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FOIA Party shall not be entitled to any rights as a Major Investor under </w:t>
      </w:r>
      <w:r>
        <w:rPr>
          <w:rFonts w:ascii="Times New Roman" w:cs="Times New Roman" w:eastAsia="Times New Roman" w:hAnsi="Times New Roman"/>
          <w:sz w:val="20"/>
          <w:szCs w:val="20"/>
          <w:u w:val="single" w:color="auto"/>
          <w:color w:val="auto"/>
        </w:rPr>
        <w:t>this Section 4.1</w:t>
      </w:r>
      <w:r>
        <w:rPr>
          <w:rFonts w:ascii="Times New Roman" w:cs="Times New Roman" w:eastAsia="Times New Roman" w:hAnsi="Times New Roman"/>
          <w:sz w:val="20"/>
          <w:szCs w:val="20"/>
          <w:color w:val="auto"/>
        </w:rPr>
        <w:t>), and (z) agrees to purchase at least such number of New Securities as are allocable hereunder to the Major Investor holding the fewest number of Preferred Stock and any other Derivative Securities.</w:t>
      </w:r>
    </w:p>
    <w:p>
      <w:pPr>
        <w:spacing w:after="0" w:line="188" w:lineRule="exact"/>
        <w:rPr>
          <w:sz w:val="20"/>
          <w:szCs w:val="20"/>
          <w:color w:val="auto"/>
        </w:rPr>
      </w:pPr>
    </w:p>
    <w:p>
      <w:pPr>
        <w:jc w:val="both"/>
        <w:ind w:left="-8" w:right="20" w:firstLine="2600"/>
        <w:spacing w:after="0" w:line="256" w:lineRule="auto"/>
        <w:tabs>
          <w:tab w:leader="none" w:pos="3452"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give notice (the “</w:t>
      </w:r>
      <w:r>
        <w:rPr>
          <w:rFonts w:ascii="Times New Roman" w:cs="Times New Roman" w:eastAsia="Times New Roman" w:hAnsi="Times New Roman"/>
          <w:sz w:val="20"/>
          <w:szCs w:val="20"/>
          <w:b w:val="1"/>
          <w:bCs w:val="1"/>
          <w:i w:val="1"/>
          <w:iCs w:val="1"/>
          <w:color w:val="auto"/>
        </w:rPr>
        <w:t>Offer Notice</w:t>
      </w:r>
      <w:r>
        <w:rPr>
          <w:rFonts w:ascii="Times New Roman" w:cs="Times New Roman" w:eastAsia="Times New Roman" w:hAnsi="Times New Roman"/>
          <w:sz w:val="20"/>
          <w:szCs w:val="20"/>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2" w:lineRule="exact"/>
        <w:rPr>
          <w:rFonts w:ascii="Times New Roman" w:cs="Times New Roman" w:eastAsia="Times New Roman" w:hAnsi="Times New Roman"/>
          <w:sz w:val="20"/>
          <w:szCs w:val="20"/>
          <w:color w:val="auto"/>
        </w:rPr>
      </w:pPr>
    </w:p>
    <w:p>
      <w:pPr>
        <w:jc w:val="both"/>
        <w:ind w:left="-8" w:firstLine="2600"/>
        <w:spacing w:after="0" w:line="256" w:lineRule="auto"/>
        <w:tabs>
          <w:tab w:leader="none" w:pos="3463"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any other Derivative Securities then outstanding). At the expiration of such twenty</w:t>
      </w:r>
    </w:p>
    <w:p>
      <w:pPr>
        <w:jc w:val="both"/>
        <w:ind w:left="-8" w:firstLine="8"/>
        <w:spacing w:after="0" w:line="252" w:lineRule="auto"/>
        <w:tabs>
          <w:tab w:leader="none" w:pos="375"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 period, the Company shall promptly notify each Major Investor that elects to purchase or acquire all the shares available to it (each, a “</w:t>
      </w:r>
      <w:r>
        <w:rPr>
          <w:rFonts w:ascii="Times New Roman" w:cs="Times New Roman" w:eastAsia="Times New Roman" w:hAnsi="Times New Roman"/>
          <w:sz w:val="19"/>
          <w:szCs w:val="19"/>
          <w:b w:val="1"/>
          <w:bCs w:val="1"/>
          <w:i w:val="1"/>
          <w:iCs w:val="1"/>
          <w:color w:val="auto"/>
        </w:rPr>
        <w:t>Fully Exercising Investor</w:t>
      </w:r>
      <w:r>
        <w:rPr>
          <w:rFonts w:ascii="Times New Roman" w:cs="Times New Roman" w:eastAsia="Times New Roman" w:hAnsi="Times New Roman"/>
          <w:sz w:val="19"/>
          <w:szCs w:val="19"/>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9"/>
          <w:szCs w:val="19"/>
          <w:u w:val="single" w:color="auto"/>
          <w:color w:val="auto"/>
        </w:rPr>
        <w:t>Subsection 4.1(b)</w:t>
      </w:r>
      <w:r>
        <w:rPr>
          <w:rFonts w:ascii="Times New Roman" w:cs="Times New Roman" w:eastAsia="Times New Roman" w:hAnsi="Times New Roman"/>
          <w:sz w:val="19"/>
          <w:szCs w:val="19"/>
          <w:color w:val="auto"/>
        </w:rPr>
        <w:t xml:space="preserve"> shall occur within the later of ninety</w:t>
      </w:r>
    </w:p>
    <w:p>
      <w:pPr>
        <w:spacing w:after="0" w:line="1" w:lineRule="exact"/>
        <w:rPr>
          <w:sz w:val="20"/>
          <w:szCs w:val="20"/>
          <w:color w:val="auto"/>
        </w:rPr>
      </w:pPr>
    </w:p>
    <w:p>
      <w:pPr>
        <w:ind w:left="5512" w:right="1280" w:hanging="5512"/>
        <w:spacing w:after="0" w:line="246" w:lineRule="auto"/>
        <w:tabs>
          <w:tab w:leader="none" w:pos="37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of the date that the Offer Notice is given and the date of initial sale of New Securities pursuant to </w:t>
      </w:r>
      <w:r>
        <w:rPr>
          <w:rFonts w:ascii="Times New Roman" w:cs="Times New Roman" w:eastAsia="Times New Roman" w:hAnsi="Times New Roman"/>
          <w:sz w:val="20"/>
          <w:szCs w:val="20"/>
          <w:u w:val="single" w:color="auto"/>
          <w:color w:val="auto"/>
        </w:rPr>
        <w:t>Subsection 4.1(c)</w:t>
      </w:r>
      <w:r>
        <w:rPr>
          <w:rFonts w:ascii="Times New Roman" w:cs="Times New Roman" w:eastAsia="Times New Roman" w:hAnsi="Times New Roman"/>
          <w:sz w:val="20"/>
          <w:szCs w:val="20"/>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104" w:name="page105"/>
    <w:bookmarkEnd w:id="104"/>
    <w:p>
      <w:pPr>
        <w:jc w:val="both"/>
        <w:ind w:firstLine="2600"/>
        <w:spacing w:after="0" w:line="244" w:lineRule="auto"/>
        <w:tabs>
          <w:tab w:leader="none" w:pos="34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all New Securities referred to in the Offer Notice are not elected to be purchased or acquired as provided in </w:t>
      </w:r>
      <w:r>
        <w:rPr>
          <w:rFonts w:ascii="Times New Roman" w:cs="Times New Roman" w:eastAsia="Times New Roman" w:hAnsi="Times New Roman"/>
          <w:sz w:val="20"/>
          <w:szCs w:val="20"/>
          <w:u w:val="single" w:color="auto"/>
          <w:color w:val="auto"/>
        </w:rPr>
        <w:t>Subsection 4.1(b)</w:t>
      </w:r>
      <w:r>
        <w:rPr>
          <w:rFonts w:ascii="Times New Roman" w:cs="Times New Roman" w:eastAsia="Times New Roman" w:hAnsi="Times New Roman"/>
          <w:sz w:val="20"/>
          <w:szCs w:val="20"/>
          <w:color w:val="auto"/>
        </w:rPr>
        <w:t xml:space="preserve">, the Company may, during the ninety (90) day period following the expiration of the periods provided in </w:t>
      </w:r>
      <w:r>
        <w:rPr>
          <w:rFonts w:ascii="Times New Roman" w:cs="Times New Roman" w:eastAsia="Times New Roman" w:hAnsi="Times New Roman"/>
          <w:sz w:val="20"/>
          <w:szCs w:val="20"/>
          <w:u w:val="single" w:color="auto"/>
          <w:color w:val="auto"/>
        </w:rPr>
        <w:t>Subsection 4.1(b)</w:t>
      </w:r>
      <w:r>
        <w:rPr>
          <w:rFonts w:ascii="Times New Roman" w:cs="Times New Roman" w:eastAsia="Times New Roman" w:hAnsi="Times New Roman"/>
          <w:sz w:val="20"/>
          <w:szCs w:val="20"/>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Times New Roman" w:cs="Times New Roman" w:eastAsia="Times New Roman" w:hAnsi="Times New Roman"/>
          <w:sz w:val="20"/>
          <w:szCs w:val="20"/>
          <w:u w:val="single" w:color="auto"/>
          <w:color w:val="auto"/>
        </w:rPr>
        <w:t>Subsection 4.1</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right="20" w:firstLine="2600"/>
        <w:spacing w:after="0" w:line="254" w:lineRule="auto"/>
        <w:tabs>
          <w:tab w:leader="none" w:pos="3471"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 of first offer in this </w:t>
      </w:r>
      <w:r>
        <w:rPr>
          <w:rFonts w:ascii="Times New Roman" w:cs="Times New Roman" w:eastAsia="Times New Roman" w:hAnsi="Times New Roman"/>
          <w:sz w:val="20"/>
          <w:szCs w:val="20"/>
          <w:u w:val="single" w:color="auto"/>
          <w:color w:val="auto"/>
        </w:rPr>
        <w:t>Subsection 4.1</w:t>
      </w:r>
      <w:r>
        <w:rPr>
          <w:rFonts w:ascii="Times New Roman" w:cs="Times New Roman" w:eastAsia="Times New Roman" w:hAnsi="Times New Roman"/>
          <w:sz w:val="20"/>
          <w:szCs w:val="20"/>
          <w:color w:val="auto"/>
        </w:rPr>
        <w:t xml:space="preserve"> shall not be applicable to (i) Exempted Securities (as defined in the Certificate of Incorporation); (ii) shares of Common Stock issued in the IPO; and (iii) the issuance of shares of Preferred Stock to Additional Purchasers pursuant to </w:t>
      </w:r>
      <w:r>
        <w:rPr>
          <w:rFonts w:ascii="Times New Roman" w:cs="Times New Roman" w:eastAsia="Times New Roman" w:hAnsi="Times New Roman"/>
          <w:sz w:val="20"/>
          <w:szCs w:val="20"/>
          <w:u w:val="single" w:color="auto"/>
          <w:color w:val="auto"/>
        </w:rPr>
        <w:t>Subsection 1.3</w:t>
      </w:r>
      <w:r>
        <w:rPr>
          <w:rFonts w:ascii="Times New Roman" w:cs="Times New Roman" w:eastAsia="Times New Roman" w:hAnsi="Times New Roman"/>
          <w:sz w:val="20"/>
          <w:szCs w:val="20"/>
          <w:color w:val="auto"/>
        </w:rPr>
        <w:t xml:space="preserve"> of the Purchase Agreement.</w:t>
      </w:r>
    </w:p>
    <w:p>
      <w:pPr>
        <w:spacing w:after="0" w:line="174" w:lineRule="exact"/>
        <w:rPr>
          <w:sz w:val="20"/>
          <w:szCs w:val="20"/>
          <w:color w:val="auto"/>
        </w:rPr>
      </w:pPr>
    </w:p>
    <w:p>
      <w:pPr>
        <w:jc w:val="both"/>
        <w:ind w:left="760" w:firstLine="1611"/>
        <w:spacing w:after="0" w:line="24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The covenants set forth in </w:t>
      </w:r>
      <w:r>
        <w:rPr>
          <w:rFonts w:ascii="Times New Roman" w:cs="Times New Roman" w:eastAsia="Times New Roman" w:hAnsi="Times New Roman"/>
          <w:sz w:val="20"/>
          <w:szCs w:val="20"/>
          <w:u w:val="single" w:color="auto"/>
          <w:color w:val="auto"/>
        </w:rPr>
        <w:t>Subsection 4.1</w:t>
      </w:r>
      <w:r>
        <w:rPr>
          <w:rFonts w:ascii="Times New Roman" w:cs="Times New Roman" w:eastAsia="Times New Roman" w:hAnsi="Times New Roman"/>
          <w:sz w:val="20"/>
          <w:szCs w:val="20"/>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80" w:lineRule="exact"/>
        <w:rPr>
          <w:sz w:val="20"/>
          <w:szCs w:val="20"/>
          <w:color w:val="auto"/>
        </w:rPr>
      </w:pPr>
    </w:p>
    <w:p>
      <w:pPr>
        <w:ind w:left="1660" w:hanging="788"/>
        <w:spacing w:after="0"/>
        <w:tabs>
          <w:tab w:leader="none" w:pos="1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Covenants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880" w:firstLine="1594"/>
        <w:spacing w:after="0" w:line="24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Company shall obtain, within ninety (90) days of the date hereof, from financially sound and reputable insurers Directors and Officers liability insurance, in an amount and on terms and conditions satisfactory to the Board of Directors, including the Series B Director, and will use commercially reasonable efforts to cause such insurance policy to be maintained until such time as the Board of Directors, including the Series B Director, determines that such insurance should be discontinued. The policy shall not be cancelable by the Company without prior approval by the Board of Directors, including the Series B Director.</w:t>
      </w:r>
    </w:p>
    <w:p>
      <w:pPr>
        <w:spacing w:after="0" w:line="184" w:lineRule="exact"/>
        <w:rPr>
          <w:sz w:val="20"/>
          <w:szCs w:val="20"/>
          <w:color w:val="auto"/>
        </w:rPr>
      </w:pPr>
    </w:p>
    <w:p>
      <w:pPr>
        <w:jc w:val="both"/>
        <w:ind w:left="880" w:firstLine="1594"/>
        <w:spacing w:after="0" w:line="24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Employee Agreements</w:t>
      </w:r>
      <w:r>
        <w:rPr>
          <w:rFonts w:ascii="Times New Roman" w:cs="Times New Roman" w:eastAsia="Times New Roman" w:hAnsi="Times New Roman"/>
          <w:sz w:val="20"/>
          <w:szCs w:val="20"/>
          <w:color w:val="auto"/>
        </w:rPr>
        <w:t>. The Company will cause each current employee and consultant to enter into a nondisclosure and proprietary rights assignment agreement in a form reasonably acceptable to the Series B Director; and each Key Employee to enter into a noncompetition and nonsolicitation agreement in a form reasonably acceptable to the Series B Director.</w:t>
      </w:r>
    </w:p>
    <w:p>
      <w:pPr>
        <w:spacing w:after="0" w:line="180" w:lineRule="exact"/>
        <w:rPr>
          <w:sz w:val="20"/>
          <w:szCs w:val="20"/>
          <w:color w:val="auto"/>
        </w:rPr>
      </w:pPr>
    </w:p>
    <w:p>
      <w:pPr>
        <w:jc w:val="both"/>
        <w:ind w:left="880" w:firstLine="1594"/>
        <w:spacing w:after="0" w:line="242"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Employee Stock</w:t>
      </w:r>
      <w:r>
        <w:rPr>
          <w:rFonts w:ascii="Times New Roman" w:cs="Times New Roman" w:eastAsia="Times New Roman" w:hAnsi="Times New Roman"/>
          <w:sz w:val="20"/>
          <w:szCs w:val="20"/>
          <w:color w:val="auto"/>
        </w:rPr>
        <w:t xml:space="preserve">. Unless otherwise approved by the Board of Directors, including the Series B Director,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 w:cs="Times New Roman" w:eastAsia="Times New Roman" w:hAnsi="Times New Roman"/>
          <w:sz w:val="20"/>
          <w:szCs w:val="20"/>
          <w:u w:val="single" w:color="auto"/>
          <w:color w:val="auto"/>
        </w:rPr>
        <w:t>Subsection 2.11</w:t>
      </w:r>
      <w:r>
        <w:rPr>
          <w:rFonts w:ascii="Times New Roman" w:cs="Times New Roman" w:eastAsia="Times New Roman" w:hAnsi="Times New Roman"/>
          <w:sz w:val="20"/>
          <w:szCs w:val="20"/>
          <w:color w:val="auto"/>
        </w:rPr>
        <w: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5" w:name="page106"/>
    <w:bookmarkEnd w:id="105"/>
    <w:p>
      <w:pPr>
        <w:jc w:val="both"/>
        <w:ind w:left="880" w:firstLine="1594"/>
        <w:spacing w:after="0" w:line="254"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Matters Requiring Investor Director Approval</w:t>
      </w:r>
      <w:r>
        <w:rPr>
          <w:rFonts w:ascii="Times New Roman" w:cs="Times New Roman" w:eastAsia="Times New Roman" w:hAnsi="Times New Roman"/>
          <w:sz w:val="20"/>
          <w:szCs w:val="20"/>
          <w:color w:val="auto"/>
        </w:rPr>
        <w:t>. So long as the holders of Series B Preferred Stock are entitled to elect a Series B Director, the Company hereby covenants and agrees with each of the Investors that it shall not, without approval of the Board of Directors, which approval must include the affirmative vote of the Series B Director:</w:t>
      </w:r>
    </w:p>
    <w:p>
      <w:pPr>
        <w:spacing w:after="0" w:line="174" w:lineRule="exact"/>
        <w:rPr>
          <w:sz w:val="20"/>
          <w:szCs w:val="20"/>
          <w:color w:val="auto"/>
        </w:rPr>
      </w:pPr>
    </w:p>
    <w:p>
      <w:pPr>
        <w:ind w:left="3460" w:hanging="860"/>
        <w:spacing w:after="0"/>
        <w:tabs>
          <w:tab w:leader="none" w:pos="34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terminate, or change the compensation of any executive officer or senior manager who is a</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report to the chief executive officer, including approving any option grants or stock awards to executive officers;</w:t>
      </w:r>
    </w:p>
    <w:p>
      <w:pPr>
        <w:spacing w:after="0" w:line="193" w:lineRule="exact"/>
        <w:rPr>
          <w:rFonts w:ascii="Times New Roman" w:cs="Times New Roman" w:eastAsia="Times New Roman" w:hAnsi="Times New Roman"/>
          <w:sz w:val="20"/>
          <w:szCs w:val="20"/>
          <w:color w:val="auto"/>
        </w:rPr>
      </w:pPr>
    </w:p>
    <w:p>
      <w:pPr>
        <w:ind w:left="3480" w:hanging="880"/>
        <w:spacing w:after="0"/>
        <w:tabs>
          <w:tab w:leader="none" w:pos="34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agreement for the lease or acquisition of facilities or real property;</w:t>
      </w:r>
    </w:p>
    <w:p>
      <w:pPr>
        <w:spacing w:after="0" w:line="215" w:lineRule="exact"/>
        <w:rPr>
          <w:rFonts w:ascii="Times New Roman" w:cs="Times New Roman" w:eastAsia="Times New Roman" w:hAnsi="Times New Roman"/>
          <w:sz w:val="20"/>
          <w:szCs w:val="20"/>
          <w:color w:val="auto"/>
        </w:rPr>
      </w:pPr>
    </w:p>
    <w:p>
      <w:pPr>
        <w:ind w:left="3460" w:hanging="860"/>
        <w:spacing w:after="0"/>
        <w:tabs>
          <w:tab w:leader="none" w:pos="34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or permit any subsidiary to make, any loan or advance to, or own any stock or other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of, any subsidiary or other corporation, partnership, or other entity unless it is wholly owned by the Company;</w:t>
      </w:r>
    </w:p>
    <w:p>
      <w:pPr>
        <w:spacing w:after="0" w:line="193" w:lineRule="exact"/>
        <w:rPr>
          <w:rFonts w:ascii="Times New Roman" w:cs="Times New Roman" w:eastAsia="Times New Roman" w:hAnsi="Times New Roman"/>
          <w:sz w:val="20"/>
          <w:szCs w:val="20"/>
          <w:color w:val="auto"/>
        </w:rPr>
      </w:pPr>
    </w:p>
    <w:p>
      <w:pPr>
        <w:jc w:val="both"/>
        <w:ind w:firstLine="2600"/>
        <w:spacing w:after="0" w:line="254" w:lineRule="auto"/>
        <w:tabs>
          <w:tab w:leader="none" w:pos="347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74" w:lineRule="exact"/>
        <w:rPr>
          <w:rFonts w:ascii="Times New Roman" w:cs="Times New Roman" w:eastAsia="Times New Roman" w:hAnsi="Times New Roman"/>
          <w:sz w:val="20"/>
          <w:szCs w:val="20"/>
          <w:color w:val="auto"/>
        </w:rPr>
      </w:pPr>
    </w:p>
    <w:p>
      <w:pPr>
        <w:ind w:left="3460" w:hanging="860"/>
        <w:spacing w:after="0"/>
        <w:tabs>
          <w:tab w:leader="none" w:pos="34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directly or indirectly, or permit any subsidiary to guarantee, directly or indirectly,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except for trade accounts of the Company or any subsidiary arising in the ordinary course of business;</w:t>
      </w:r>
    </w:p>
    <w:p>
      <w:pPr>
        <w:spacing w:after="0" w:line="193" w:lineRule="exact"/>
        <w:rPr>
          <w:rFonts w:ascii="Times New Roman" w:cs="Times New Roman" w:eastAsia="Times New Roman" w:hAnsi="Times New Roman"/>
          <w:sz w:val="20"/>
          <w:szCs w:val="20"/>
          <w:color w:val="auto"/>
        </w:rPr>
      </w:pPr>
    </w:p>
    <w:p>
      <w:pPr>
        <w:ind w:left="3440" w:hanging="840"/>
        <w:spacing w:after="0"/>
        <w:tabs>
          <w:tab w:leader="none" w:pos="344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investment inconsistent with any investment policy approved by the Board of Directors;</w:t>
      </w:r>
    </w:p>
    <w:p>
      <w:pPr>
        <w:spacing w:after="0" w:line="227" w:lineRule="exact"/>
        <w:rPr>
          <w:rFonts w:ascii="Times New Roman" w:cs="Times New Roman" w:eastAsia="Times New Roman" w:hAnsi="Times New Roman"/>
          <w:sz w:val="19"/>
          <w:szCs w:val="19"/>
          <w:color w:val="auto"/>
        </w:rPr>
      </w:pPr>
    </w:p>
    <w:p>
      <w:pPr>
        <w:ind w:left="3480" w:hanging="880"/>
        <w:spacing w:after="0"/>
        <w:tabs>
          <w:tab w:leader="none" w:pos="348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any aggregate indebtedness in excess of $1,000,000 that is not already included in a budget</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approved by the Board of Directors, other than trade credit incurred in the ordinary course of business;</w:t>
      </w:r>
    </w:p>
    <w:p>
      <w:pPr>
        <w:spacing w:after="0" w:line="193" w:lineRule="exact"/>
        <w:rPr>
          <w:rFonts w:ascii="Times New Roman" w:cs="Times New Roman" w:eastAsia="Times New Roman" w:hAnsi="Times New Roman"/>
          <w:sz w:val="19"/>
          <w:szCs w:val="19"/>
          <w:color w:val="auto"/>
        </w:rPr>
      </w:pPr>
    </w:p>
    <w:p>
      <w:pPr>
        <w:jc w:val="both"/>
        <w:ind w:firstLine="2600"/>
        <w:spacing w:after="0" w:line="254" w:lineRule="auto"/>
        <w:tabs>
          <w:tab w:leader="none" w:pos="347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enter into or be a party to any transaction with any director, officer, or employee of the Company or any “associate” (as defined in Rule 12b-2 promulgated under the Exchange Act) of any such Person, except for transactions contemplated by this Agreement and the Purchase Agreement;</w:t>
      </w:r>
    </w:p>
    <w:p>
      <w:pPr>
        <w:spacing w:after="0" w:line="174" w:lineRule="exact"/>
        <w:rPr>
          <w:rFonts w:ascii="Times New Roman" w:cs="Times New Roman" w:eastAsia="Times New Roman" w:hAnsi="Times New Roman"/>
          <w:sz w:val="20"/>
          <w:szCs w:val="20"/>
          <w:color w:val="auto"/>
        </w:rPr>
      </w:pPr>
    </w:p>
    <w:p>
      <w:pPr>
        <w:ind w:firstLine="2600"/>
        <w:spacing w:after="0" w:line="269" w:lineRule="auto"/>
        <w:tabs>
          <w:tab w:leader="none" w:pos="342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assign, license, pledge, or encumber material technology or intellectual property, other than licenses granted in the ordinary course of business; or</w:t>
      </w:r>
    </w:p>
    <w:p>
      <w:pPr>
        <w:spacing w:after="0" w:line="159" w:lineRule="exact"/>
        <w:rPr>
          <w:rFonts w:ascii="Times New Roman" w:cs="Times New Roman" w:eastAsia="Times New Roman" w:hAnsi="Times New Roman"/>
          <w:sz w:val="20"/>
          <w:szCs w:val="20"/>
          <w:color w:val="auto"/>
        </w:rPr>
      </w:pPr>
    </w:p>
    <w:p>
      <w:pPr>
        <w:ind w:firstLine="2600"/>
        <w:spacing w:after="0" w:line="269" w:lineRule="auto"/>
        <w:tabs>
          <w:tab w:leader="none" w:pos="342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corporate strategic relationship involving the payment, contribution, or assignment by the Company or to the Company of money or assets greater than $250,000.</w:t>
      </w:r>
    </w:p>
    <w:p>
      <w:pPr>
        <w:spacing w:after="0" w:line="159" w:lineRule="exact"/>
        <w:rPr>
          <w:sz w:val="20"/>
          <w:szCs w:val="20"/>
          <w:color w:val="auto"/>
        </w:rPr>
      </w:pPr>
    </w:p>
    <w:p>
      <w:pPr>
        <w:jc w:val="both"/>
        <w:ind w:left="880" w:firstLine="1594"/>
        <w:spacing w:after="0" w:line="244"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Board Matters</w:t>
      </w:r>
      <w:r>
        <w:rPr>
          <w:rFonts w:ascii="Times New Roman" w:cs="Times New Roman" w:eastAsia="Times New Roman" w:hAnsi="Times New Roman"/>
          <w:sz w:val="20"/>
          <w:szCs w:val="20"/>
          <w:color w:val="auto"/>
        </w:rPr>
        <w:t>. Unless otherwise determined by the vote of a majority of the directors then in office, including the Series B Director, the Board of Directors shall meet at least quarterly in accordance with an agreed-upon schedule. The Company shall reimburse the nonemployee directors for all reasonable out-of-pocket travel expenses incurred (consistent with the Company’s travel policy) in connection with attending meetings of the Board of Directors. The Series B Director shall be entitled in such person’s discretion to be a member of any committee of the Board of Directors.</w:t>
      </w: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6" w:name="page107"/>
    <w:bookmarkEnd w:id="106"/>
    <w:p>
      <w:pPr>
        <w:jc w:val="both"/>
        <w:ind w:firstLine="1594"/>
        <w:spacing w:after="0" w:line="245"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Successor Indemnification</w:t>
      </w:r>
      <w:r>
        <w:rPr>
          <w:rFonts w:ascii="Times New Roman" w:cs="Times New Roman" w:eastAsia="Times New Roman" w:hAnsi="Times New Roman"/>
          <w:sz w:val="20"/>
          <w:szCs w:val="20"/>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84" w:lineRule="exact"/>
        <w:rPr>
          <w:sz w:val="20"/>
          <w:szCs w:val="20"/>
          <w:color w:val="auto"/>
        </w:rPr>
      </w:pPr>
    </w:p>
    <w:p>
      <w:pPr>
        <w:jc w:val="both"/>
        <w:ind w:firstLine="1594"/>
        <w:spacing w:after="0" w:line="231" w:lineRule="exact"/>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Indemnification Matters</w:t>
      </w:r>
      <w:r>
        <w:rPr>
          <w:rFonts w:ascii="Times New Roman" w:cs="Times New Roman" w:eastAsia="Times New Roman" w:hAnsi="Times New Roman"/>
          <w:sz w:val="20"/>
          <w:szCs w:val="20"/>
          <w:color w:val="auto"/>
        </w:rPr>
        <w:t>. The Company hereby acknowledges that one (1) or more of the directors nominated to serve on the Board of Directors by the Investors (each an “</w:t>
      </w:r>
      <w:r>
        <w:rPr>
          <w:rFonts w:ascii="Times New Roman" w:cs="Times New Roman" w:eastAsia="Times New Roman" w:hAnsi="Times New Roman"/>
          <w:sz w:val="20"/>
          <w:szCs w:val="20"/>
          <w:b w:val="1"/>
          <w:bCs w:val="1"/>
          <w:i w:val="1"/>
          <w:iCs w:val="1"/>
          <w:color w:val="auto"/>
        </w:rPr>
        <w:t>Investor Director</w:t>
      </w:r>
      <w:r>
        <w:rPr>
          <w:rFonts w:ascii="Times New Roman" w:cs="Times New Roman" w:eastAsia="Times New Roman" w:hAnsi="Times New Roman"/>
          <w:sz w:val="20"/>
          <w:szCs w:val="20"/>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20"/>
          <w:szCs w:val="20"/>
          <w:b w:val="1"/>
          <w:bCs w:val="1"/>
          <w:i w:val="1"/>
          <w:iCs w:val="1"/>
          <w:color w:val="auto"/>
        </w:rPr>
        <w:t>Investor Indemnitors</w:t>
      </w:r>
      <w:r>
        <w:rPr>
          <w:rFonts w:ascii="Times New Roman" w:cs="Times New Roman" w:eastAsia="Times New Roman" w:hAnsi="Times New Roman"/>
          <w:sz w:val="20"/>
          <w:szCs w:val="20"/>
          <w:color w:val="auto"/>
        </w:rPr>
        <w:t>”). The Company hereby agrees (a) that it is the indemnitor of first resort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its obligations to any such Investor Director are primary and any obligation of the Investor 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Company’s Certificate of Incorporation or Bylaws of the Company (or any agreement between the Company and such Investor Director), without regard to any rights such Investor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 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party beneficiaries of this </w:t>
      </w:r>
      <w:r>
        <w:rPr>
          <w:rFonts w:ascii="Times New Roman" w:cs="Times New Roman" w:eastAsia="Times New Roman" w:hAnsi="Times New Roman"/>
          <w:sz w:val="20"/>
          <w:szCs w:val="20"/>
          <w:u w:val="single" w:color="auto"/>
          <w:color w:val="auto"/>
        </w:rPr>
        <w:t>Subsection 5.7</w:t>
      </w:r>
      <w:r>
        <w:rPr>
          <w:rFonts w:ascii="Times New Roman" w:cs="Times New Roman" w:eastAsia="Times New Roman" w:hAnsi="Times New Roman"/>
          <w:sz w:val="20"/>
          <w:szCs w:val="20"/>
          <w:color w:val="auto"/>
        </w:rPr>
        <w:t xml:space="preserve"> and shall have the right, power and authority to enforce the provisions of this </w:t>
      </w:r>
      <w:r>
        <w:rPr>
          <w:rFonts w:ascii="Times New Roman" w:cs="Times New Roman" w:eastAsia="Times New Roman" w:hAnsi="Times New Roman"/>
          <w:sz w:val="20"/>
          <w:szCs w:val="20"/>
          <w:u w:val="single" w:color="auto"/>
          <w:color w:val="auto"/>
        </w:rPr>
        <w:t>Subsection 5.7</w:t>
      </w:r>
      <w:r>
        <w:rPr>
          <w:rFonts w:ascii="Times New Roman" w:cs="Times New Roman" w:eastAsia="Times New Roman" w:hAnsi="Times New Roman"/>
          <w:sz w:val="20"/>
          <w:szCs w:val="20"/>
          <w:color w:val="auto"/>
        </w:rPr>
        <w:t xml:space="preserve"> as though they were a party to this Agreement.</w:t>
      </w:r>
    </w:p>
    <w:p>
      <w:pPr>
        <w:spacing w:after="0" w:line="204" w:lineRule="exact"/>
        <w:rPr>
          <w:sz w:val="20"/>
          <w:szCs w:val="20"/>
          <w:color w:val="auto"/>
        </w:rPr>
      </w:pPr>
    </w:p>
    <w:p>
      <w:pPr>
        <w:jc w:val="both"/>
        <w:ind w:firstLine="1594"/>
        <w:spacing w:after="0" w:line="241"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Right to Conduct Activities</w:t>
      </w:r>
      <w:r>
        <w:rPr>
          <w:rFonts w:ascii="Times New Roman" w:cs="Times New Roman" w:eastAsia="Times New Roman" w:hAnsi="Times New Roman"/>
          <w:sz w:val="20"/>
          <w:szCs w:val="20"/>
          <w:color w:val="auto"/>
        </w:rPr>
        <w:t>. The Company hereby agrees and acknowledges that each of Perceptive Life Sciences Master Fund Ltd. (together with its Affiliates),RTW (together with its Affiliates), and Rock Springs Capital Master Fund LP and Four Pines Master Fund LP, and Franklin (together with its Affiliates), (collectively, the “</w:t>
      </w:r>
      <w:r>
        <w:rPr>
          <w:rFonts w:ascii="Times New Roman" w:cs="Times New Roman" w:eastAsia="Times New Roman" w:hAnsi="Times New Roman"/>
          <w:sz w:val="20"/>
          <w:szCs w:val="20"/>
          <w:b w:val="1"/>
          <w:bCs w:val="1"/>
          <w:i w:val="1"/>
          <w:iCs w:val="1"/>
          <w:color w:val="auto"/>
        </w:rPr>
        <w:t>Professional Investment Organizations</w:t>
      </w:r>
      <w:r>
        <w:rPr>
          <w:rFonts w:ascii="Times New Roman" w:cs="Times New Roman" w:eastAsia="Times New Roman" w:hAnsi="Times New Roman"/>
          <w:sz w:val="20"/>
          <w:szCs w:val="20"/>
          <w:color w:val="auto"/>
        </w:rPr>
        <w:t xml:space="preserve">”) is a professional investment organization, and as such reviews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the Professional Investment Organizations shall not be liable to the Company for any claim arising out of, or based upon, (i) the investment by such Professional Investment Organization in any entity competitive with the Company, or (ii) actions taken by any partner, officer, employee or other representative of such Professional Investment Organization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68580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49" w:right="339" w:bottom="1440" w:gutter="0" w:footer="0" w:header="0"/>
        </w:sectPr>
      </w:pPr>
    </w:p>
    <w:bookmarkStart w:id="107" w:name="page108"/>
    <w:bookmarkEnd w:id="107"/>
    <w:p>
      <w:pPr>
        <w:ind w:left="1588"/>
        <w:spacing w:after="0"/>
        <w:tabs>
          <w:tab w:leader="none" w:pos="2468"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20"/>
          <w:szCs w:val="20"/>
          <w:u w:val="single" w:color="auto"/>
          <w:color w:val="auto"/>
        </w:rPr>
        <w:t>Termination of Covenants</w:t>
      </w:r>
      <w:r>
        <w:rPr>
          <w:rFonts w:ascii="Times New Roman" w:cs="Times New Roman" w:eastAsia="Times New Roman" w:hAnsi="Times New Roman"/>
          <w:sz w:val="20"/>
          <w:szCs w:val="20"/>
          <w:color w:val="auto"/>
        </w:rPr>
        <w:t>. The covenants set forth in this</w:t>
      </w:r>
      <w:r>
        <w:rPr>
          <w:rFonts w:ascii="Times New Roman" w:cs="Times New Roman" w:eastAsia="Times New Roman" w:hAnsi="Times New Roman"/>
          <w:sz w:val="20"/>
          <w:szCs w:val="20"/>
          <w:u w:val="single" w:color="auto"/>
          <w:color w:val="auto"/>
        </w:rPr>
        <w:t xml:space="preserve"> Section 5</w:t>
      </w:r>
      <w:r>
        <w:rPr>
          <w:rFonts w:ascii="Times New Roman" w:cs="Times New Roman" w:eastAsia="Times New Roman" w:hAnsi="Times New Roman"/>
          <w:sz w:val="20"/>
          <w:szCs w:val="20"/>
          <w:color w:val="auto"/>
        </w:rPr>
        <w:t>, except for</w:t>
      </w:r>
      <w:r>
        <w:rPr>
          <w:rFonts w:ascii="Times New Roman" w:cs="Times New Roman" w:eastAsia="Times New Roman" w:hAnsi="Times New Roman"/>
          <w:sz w:val="20"/>
          <w:szCs w:val="20"/>
          <w:u w:val="single" w:color="auto"/>
          <w:color w:val="auto"/>
        </w:rPr>
        <w:t xml:space="preserve"> Subsections 5.6 </w:t>
      </w:r>
      <w:r>
        <w:rPr>
          <w:rFonts w:ascii="Times New Roman" w:cs="Times New Roman" w:eastAsia="Times New Roman" w:hAnsi="Times New Roman"/>
          <w:sz w:val="20"/>
          <w:szCs w:val="20"/>
          <w:color w:val="auto"/>
        </w:rPr>
        <w:t>or</w:t>
      </w:r>
    </w:p>
    <w:p>
      <w:pPr>
        <w:spacing w:after="0" w:line="22" w:lineRule="exact"/>
        <w:rPr>
          <w:sz w:val="20"/>
          <w:szCs w:val="20"/>
          <w:color w:val="auto"/>
        </w:rPr>
      </w:pPr>
    </w:p>
    <w:p>
      <w:pPr>
        <w:jc w:val="both"/>
        <w:ind w:left="8"/>
        <w:spacing w:after="0" w:line="242" w:lineRule="auto"/>
        <w:rPr>
          <w:sz w:val="20"/>
          <w:szCs w:val="20"/>
          <w:color w:val="auto"/>
        </w:rPr>
      </w:pP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of Incorporation, whichever event occurs first.</w:t>
      </w:r>
    </w:p>
    <w:p>
      <w:pPr>
        <w:spacing w:after="0" w:line="187" w:lineRule="exact"/>
        <w:rPr>
          <w:sz w:val="20"/>
          <w:szCs w:val="20"/>
          <w:color w:val="auto"/>
        </w:rPr>
      </w:pPr>
    </w:p>
    <w:p>
      <w:pPr>
        <w:ind w:left="788" w:hanging="788"/>
        <w:spacing w:after="0"/>
        <w:tabs>
          <w:tab w:leader="none" w:pos="78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8" w:firstLine="1594"/>
        <w:spacing w:after="0" w:line="241"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500,000 shares of Registrable Securities (subject to appropriate adjustment for stock splits, stock dividends, combinations, and other recapitalizations);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20"/>
          <w:szCs w:val="20"/>
          <w:u w:val="single" w:color="auto"/>
          <w:color w:val="auto"/>
        </w:rPr>
        <w:t>Subsection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92" w:lineRule="exact"/>
        <w:rPr>
          <w:sz w:val="20"/>
          <w:szCs w:val="20"/>
          <w:color w:val="auto"/>
        </w:rPr>
      </w:pPr>
    </w:p>
    <w:p>
      <w:pPr>
        <w:jc w:val="both"/>
        <w:ind w:left="8" w:firstLine="1594"/>
        <w:spacing w:after="0" w:line="25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the internal law of the State of Delaware, without regard to conflict of law principles that would result in the application of any law other than the law of the State of Delaware.</w:t>
      </w:r>
    </w:p>
    <w:p>
      <w:pPr>
        <w:spacing w:after="0" w:line="200" w:lineRule="exact"/>
        <w:rPr>
          <w:sz w:val="20"/>
          <w:szCs w:val="20"/>
          <w:color w:val="auto"/>
        </w:rPr>
      </w:pPr>
    </w:p>
    <w:p>
      <w:pPr>
        <w:spacing w:after="0" w:line="208" w:lineRule="exact"/>
        <w:rPr>
          <w:sz w:val="20"/>
          <w:szCs w:val="20"/>
          <w:color w:val="auto"/>
        </w:rPr>
      </w:pPr>
    </w:p>
    <w:p>
      <w:pPr>
        <w:jc w:val="both"/>
        <w:ind w:left="8" w:firstLine="1594"/>
        <w:spacing w:after="0" w:line="244"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www.docusign.com) or other transmission method and any counterpart so delivered shall be deemed to have been duly and validly delivered and be valid and effective for all purposes</w:t>
      </w:r>
      <w:r>
        <w:rPr>
          <w:rFonts w:ascii="Times New Roman" w:cs="Times New Roman" w:eastAsia="Times New Roman" w:hAnsi="Times New Roman"/>
          <w:sz w:val="20"/>
          <w:szCs w:val="20"/>
          <w:b w:val="1"/>
          <w:bCs w:val="1"/>
          <w:color w:val="auto"/>
        </w:rPr>
        <w:t>.</w:t>
      </w:r>
    </w:p>
    <w:p>
      <w:pPr>
        <w:ind w:left="4648"/>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68580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49" w:right="339" w:bottom="1440" w:gutter="0" w:footer="0" w:header="0"/>
        </w:sectPr>
      </w:pPr>
    </w:p>
    <w:bookmarkStart w:id="108" w:name="page109"/>
    <w:bookmarkEnd w:id="108"/>
    <w:p>
      <w:pPr>
        <w:ind w:left="880" w:firstLine="1594"/>
        <w:spacing w:after="0" w:line="269"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Titles and Subtitles</w:t>
      </w:r>
      <w:r>
        <w:rPr>
          <w:rFonts w:ascii="Times New Roman" w:cs="Times New Roman" w:eastAsia="Times New Roman" w:hAnsi="Times New Roman"/>
          <w:sz w:val="20"/>
          <w:szCs w:val="20"/>
          <w:color w:val="auto"/>
        </w:rPr>
        <w:t>. The titles and subtitles used in this Agreement are for convenience only and are not to be considered in construing or interpreting this Agreement.</w:t>
      </w:r>
    </w:p>
    <w:p>
      <w:pPr>
        <w:spacing w:after="0" w:line="159" w:lineRule="exact"/>
        <w:rPr>
          <w:sz w:val="20"/>
          <w:szCs w:val="20"/>
          <w:color w:val="auto"/>
        </w:rPr>
      </w:pPr>
    </w:p>
    <w:p>
      <w:pPr>
        <w:ind w:left="2460"/>
        <w:spacing w:after="0"/>
        <w:tabs>
          <w:tab w:leader="none" w:pos="33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2600"/>
        <w:spacing w:after="0" w:line="256" w:lineRule="auto"/>
        <w:tabs>
          <w:tab w:leader="none" w:pos="346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or Schedule B (as applicable) hereto, or to the principal office of the Company and to the attention of the Chief Executive Officer, in the case of the Company, or to such email address or address as subsequently modified by written notice given in accordance with this </w:t>
      </w:r>
      <w:r>
        <w:rPr>
          <w:rFonts w:ascii="Times New Roman" w:cs="Times New Roman" w:eastAsia="Times New Roman" w:hAnsi="Times New Roman"/>
          <w:sz w:val="19"/>
          <w:szCs w:val="19"/>
          <w:u w:val="single" w:color="auto"/>
          <w:color w:val="auto"/>
        </w:rPr>
        <w:t>Subsection 6.5</w:t>
      </w:r>
      <w:r>
        <w:rPr>
          <w:rFonts w:ascii="Times New Roman" w:cs="Times New Roman" w:eastAsia="Times New Roman" w:hAnsi="Times New Roman"/>
          <w:sz w:val="19"/>
          <w:szCs w:val="19"/>
          <w:color w:val="auto"/>
        </w:rPr>
        <w:t>. If notice is given to the Company, a copy shall also be sent to Wilson Sonsini Goodrich &amp; Rosati, P.C., 701 Fifth Avenue, Suite 5100, Seattle, WA 98104-7036; Attention: Michael Nordtvedt, and if notice is given to the Investors, a copy shall also be given to Goodwin Procter LLP, New York Times Bldg, 620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9"/>
          <w:szCs w:val="19"/>
          <w:color w:val="auto"/>
        </w:rPr>
        <w:t xml:space="preserve"> Avenue, New York, NY 10018; Attention: Daniel Lang.</w:t>
      </w:r>
    </w:p>
    <w:p>
      <w:pPr>
        <w:spacing w:after="0" w:line="177" w:lineRule="exact"/>
        <w:rPr>
          <w:rFonts w:ascii="Times New Roman" w:cs="Times New Roman" w:eastAsia="Times New Roman" w:hAnsi="Times New Roman"/>
          <w:sz w:val="19"/>
          <w:szCs w:val="19"/>
          <w:color w:val="auto"/>
        </w:rPr>
      </w:pPr>
    </w:p>
    <w:p>
      <w:pPr>
        <w:jc w:val="both"/>
        <w:ind w:firstLine="2600"/>
        <w:spacing w:after="0" w:line="245" w:lineRule="auto"/>
        <w:tabs>
          <w:tab w:leader="none" w:pos="347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Electronic Notice</w:t>
      </w:r>
      <w:r>
        <w:rPr>
          <w:rFonts w:ascii="Times New Roman" w:cs="Times New Roman" w:eastAsia="Times New Roman" w:hAnsi="Times New Roman"/>
          <w:sz w:val="20"/>
          <w:szCs w:val="20"/>
          <w:color w:val="auto"/>
        </w:rPr>
        <w:t>. Each Investor and Key Holder consents to the delivery of any stockholder notice pursuant to the Delaware General Corporation Law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as amended or superseded from time to time, by electronic transmission pursuant to Section 232 of the DGCL (or any successor thereto) at the electronic mail address set forth below such Investor’s or Key Holder’s name on the Schedules hereto, as updated from time to time by notice to the Company, or as on the books of the Company. Each Investor and Key Holder agrees to promptly notify the Company of any change in such stockholder’s electronic mail address, and that failure to do so shall not affect the foregoing.</w:t>
      </w:r>
    </w:p>
    <w:p>
      <w:pPr>
        <w:spacing w:after="0" w:line="184" w:lineRule="exact"/>
        <w:rPr>
          <w:sz w:val="20"/>
          <w:szCs w:val="20"/>
          <w:color w:val="auto"/>
        </w:rPr>
      </w:pPr>
    </w:p>
    <w:p>
      <w:pPr>
        <w:jc w:val="both"/>
        <w:ind w:left="880" w:firstLine="1594"/>
        <w:spacing w:after="0" w:line="241"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may in its sole discretion waive compliance with </w:t>
      </w:r>
      <w:r>
        <w:rPr>
          <w:rFonts w:ascii="Times New Roman" w:cs="Times New Roman" w:eastAsia="Times New Roman" w:hAnsi="Times New Roman"/>
          <w:sz w:val="20"/>
          <w:szCs w:val="20"/>
          <w:u w:val="single" w:color="auto"/>
          <w:color w:val="auto"/>
        </w:rPr>
        <w:t>Subsection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2.12(c)</w:t>
      </w:r>
      <w:r>
        <w:rPr>
          <w:rFonts w:ascii="Times New Roman" w:cs="Times New Roman" w:eastAsia="Times New Roman" w:hAnsi="Times New Roman"/>
          <w:sz w:val="20"/>
          <w:szCs w:val="20"/>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20"/>
          <w:szCs w:val="20"/>
          <w:u w:val="single" w:color="auto"/>
          <w:color w:val="auto"/>
        </w:rPr>
        <w:t>Subsection 2.12(c)</w:t>
      </w:r>
      <w:r>
        <w:rPr>
          <w:rFonts w:ascii="Times New Roman" w:cs="Times New Roman" w:eastAsia="Times New Roman" w:hAnsi="Times New Roman"/>
          <w:sz w:val="20"/>
          <w:szCs w:val="20"/>
          <w:color w:val="auto"/>
        </w:rPr>
        <w:t xml:space="preserve"> shall be deemed to be a waiver);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 provided, however, that if the provisions of Section 4 are waived in accordance with this Section 6.6, and one or more Major Investors nonetheless participates in the purchase of New Securities from the Company for which the provisions of Section 4 of this Agreement were waived, then each Major Investor entitled to rights under Section</w:t>
      </w: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9" w:name="page110"/>
    <w:bookmarkEnd w:id="109"/>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4 will be given the opportunity under Section 4 to purchase its pro rata share of any New Securities made available for purchase by the Major Investors in such transaction; provided further, that the preceding proviso and this proviso may not be amended, waived or terminated without the written consent of each Major Investor) and (b)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and any other section of this Agreement applicable to the Major Investors (including this clause (b) of this </w:t>
      </w:r>
      <w:r>
        <w:rPr>
          <w:rFonts w:ascii="Times New Roman" w:cs="Times New Roman" w:eastAsia="Times New Roman" w:hAnsi="Times New Roman"/>
          <w:sz w:val="20"/>
          <w:szCs w:val="20"/>
          <w:u w:val="single" w:color="auto"/>
          <w:color w:val="auto"/>
        </w:rPr>
        <w:t>Subsection 6.6</w:t>
      </w:r>
      <w:r>
        <w:rPr>
          <w:rFonts w:ascii="Times New Roman" w:cs="Times New Roman" w:eastAsia="Times New Roman" w:hAnsi="Times New Roman"/>
          <w:sz w:val="20"/>
          <w:szCs w:val="20"/>
          <w:color w:val="auto"/>
        </w:rPr>
        <w:t xml:space="preserve">) may not be amended, modified, terminated or waived without the written consent of the holders of at least a majority of the Registrable Securities then outstanding and held by the Major Investors. Further, this Agreement may not be amended, modified or terminated, and no provision may be waived, in each case, in any way which would adversely affect the rights of the Key Holders hereunder in a manner disproportionate to any adverse effect such amendment, modification, termination or waiver would have on the rights of the Investors hereunder, without also the written consent of the holders of at least a majority of the Registrable Securities held by the Key Holders. Notwithstanding the foregoing,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may be amended by the Company from time to time to add transferees of any Registrable Securities in compliance with the terms of this Agreement without the consent of the other parties; and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Times New Roman" w:cs="Times New Roman" w:eastAsia="Times New Roman" w:hAnsi="Times New Roman"/>
          <w:sz w:val="20"/>
          <w:szCs w:val="20"/>
          <w:u w:val="single" w:color="auto"/>
          <w:color w:val="auto"/>
        </w:rPr>
        <w:t>Subsection 6.9</w:t>
      </w:r>
      <w:r>
        <w:rPr>
          <w:rFonts w:ascii="Times New Roman" w:cs="Times New Roman" w:eastAsia="Times New Roman" w:hAnsi="Times New Roman"/>
          <w:sz w:val="20"/>
          <w:szCs w:val="20"/>
          <w:color w:val="auto"/>
        </w:rPr>
        <w:t xml:space="preserve">. The Company shall give prompt notice of any amendment, modification or termination hereof or waiver hereunder to any party hereto that did not consent in writing to such amendment, modification, termination, or waiver. Any amendment, modification, termination, or waiver effected in accordance with this </w:t>
      </w:r>
      <w:r>
        <w:rPr>
          <w:rFonts w:ascii="Times New Roman" w:cs="Times New Roman" w:eastAsia="Times New Roman" w:hAnsi="Times New Roman"/>
          <w:sz w:val="20"/>
          <w:szCs w:val="20"/>
          <w:u w:val="single" w:color="auto"/>
          <w:color w:val="auto"/>
        </w:rPr>
        <w:t>Subsection 6.6</w:t>
      </w:r>
      <w:r>
        <w:rPr>
          <w:rFonts w:ascii="Times New Roman" w:cs="Times New Roman" w:eastAsia="Times New Roman" w:hAnsi="Times New Roman"/>
          <w:sz w:val="20"/>
          <w:szCs w:val="20"/>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89" w:lineRule="exact"/>
        <w:rPr>
          <w:sz w:val="20"/>
          <w:szCs w:val="20"/>
          <w:color w:val="auto"/>
        </w:rPr>
      </w:pPr>
    </w:p>
    <w:p>
      <w:pPr>
        <w:jc w:val="both"/>
        <w:ind w:firstLine="1594"/>
        <w:spacing w:after="0" w:line="249"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0" w:lineRule="exact"/>
        <w:rPr>
          <w:sz w:val="20"/>
          <w:szCs w:val="20"/>
          <w:color w:val="auto"/>
        </w:rPr>
      </w:pPr>
    </w:p>
    <w:p>
      <w:pPr>
        <w:jc w:val="both"/>
        <w:ind w:firstLine="1594"/>
        <w:spacing w:after="0" w:line="254"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Aggregation of Stock</w:t>
      </w:r>
      <w:r>
        <w:rPr>
          <w:rFonts w:ascii="Times New Roman" w:cs="Times New Roman" w:eastAsia="Times New Roman" w:hAnsi="Times New Roman"/>
          <w:sz w:val="20"/>
          <w:szCs w:val="20"/>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74" w:lineRule="exact"/>
        <w:rPr>
          <w:sz w:val="20"/>
          <w:szCs w:val="20"/>
          <w:color w:val="auto"/>
        </w:rPr>
      </w:pPr>
    </w:p>
    <w:p>
      <w:pPr>
        <w:jc w:val="both"/>
        <w:ind w:firstLine="1594"/>
        <w:spacing w:after="0" w:line="243"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Additional Investors</w:t>
      </w:r>
      <w:r>
        <w:rPr>
          <w:rFonts w:ascii="Times New Roman" w:cs="Times New Roman" w:eastAsia="Times New Roman" w:hAnsi="Times New Roman"/>
          <w:sz w:val="20"/>
          <w:szCs w:val="20"/>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68580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49" w:right="339" w:bottom="1440" w:gutter="0" w:footer="0" w:header="0"/>
        </w:sectPr>
      </w:pPr>
    </w:p>
    <w:bookmarkStart w:id="110" w:name="page111"/>
    <w:bookmarkEnd w:id="110"/>
    <w:p>
      <w:pPr>
        <w:jc w:val="both"/>
        <w:ind w:firstLine="1594"/>
        <w:spacing w:after="0" w:line="249"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(including any Schedules and Exhibits hereto), the Certificate of Incorporation and the other Transaction Agreements (as defined in the Purchase Agreement) constitute the full and entire understanding and agreement among the parties with respect to the subject matter hereof, and any other written or oral agreement relating to the subject matter hereof existing between the parties is expressly canceled.</w:t>
      </w:r>
    </w:p>
    <w:p>
      <w:pPr>
        <w:spacing w:after="0" w:line="180" w:lineRule="exact"/>
        <w:rPr>
          <w:sz w:val="20"/>
          <w:szCs w:val="20"/>
          <w:color w:val="auto"/>
        </w:rPr>
      </w:pPr>
    </w:p>
    <w:p>
      <w:pPr>
        <w:jc w:val="both"/>
        <w:ind w:firstLine="1594"/>
        <w:spacing w:after="0" w:line="243"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86" w:lineRule="exact"/>
        <w:rPr>
          <w:sz w:val="20"/>
          <w:szCs w:val="20"/>
          <w:color w:val="auto"/>
        </w:rPr>
      </w:pPr>
    </w:p>
    <w:p>
      <w:pPr>
        <w:jc w:val="both"/>
        <w:ind w:right="860"/>
        <w:spacing w:after="0" w:line="242" w:lineRule="auto"/>
        <w:rPr>
          <w:sz w:val="20"/>
          <w:szCs w:val="20"/>
          <w:color w:val="auto"/>
        </w:rPr>
      </w:pPr>
      <w:r>
        <w:rPr>
          <w:rFonts w:ascii="Times New Roman" w:cs="Times New Roman" w:eastAsia="Times New Roman" w:hAnsi="Times New Roman"/>
          <w:sz w:val="20"/>
          <w:szCs w:val="20"/>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7" w:lineRule="exact"/>
        <w:rPr>
          <w:sz w:val="20"/>
          <w:szCs w:val="20"/>
          <w:color w:val="auto"/>
        </w:rPr>
      </w:pPr>
    </w:p>
    <w:p>
      <w:pPr>
        <w:jc w:val="both"/>
        <w:ind w:firstLine="1594"/>
        <w:spacing w:after="0" w:line="245"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Delays or Omissions</w:t>
      </w:r>
      <w:r>
        <w:rPr>
          <w:rFonts w:ascii="Times New Roman" w:cs="Times New Roman" w:eastAsia="Times New Roman" w:hAnsi="Times New Roman"/>
          <w:sz w:val="20"/>
          <w:szCs w:val="20"/>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84" w:lineRule="exact"/>
        <w:rPr>
          <w:sz w:val="20"/>
          <w:szCs w:val="20"/>
          <w:color w:val="auto"/>
        </w:rPr>
      </w:pPr>
    </w:p>
    <w:p>
      <w:pPr>
        <w:jc w:val="both"/>
        <w:ind w:firstLine="1594"/>
        <w:spacing w:after="0" w:line="247"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Investors hereby waive any and all rights they may have with respect to the Company’s issuance of shares of Series B Preferred Stock, Series B-1 Preferred Stock and shares of Common Stock issuable upon conversion thereof.</w:t>
      </w:r>
    </w:p>
    <w:p>
      <w:pPr>
        <w:ind w:left="464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68580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49"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68580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as of the date first written above.</w:t>
      </w:r>
    </w:p>
    <w:p>
      <w:pPr>
        <w:spacing w:after="0" w:line="200" w:lineRule="exact"/>
        <w:rPr>
          <w:sz w:val="20"/>
          <w:szCs w:val="20"/>
          <w:color w:val="auto"/>
        </w:rPr>
      </w:pPr>
    </w:p>
    <w:p>
      <w:pPr>
        <w:spacing w:after="0" w:line="29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00" w:lineRule="exact"/>
        <w:rPr>
          <w:sz w:val="20"/>
          <w:szCs w:val="20"/>
          <w:color w:val="auto"/>
        </w:rPr>
      </w:pP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CEO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title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33"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Altmayer Family Investments,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Magnus Stephen Altmayer</w:t>
            </w:r>
          </w:p>
        </w:tc>
      </w:tr>
      <w:tr>
        <w:trPr>
          <w:trHeight w:val="466"/>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Magnus Stephen Altmayer</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Manager</w:t>
            </w:r>
          </w:p>
        </w:tc>
        <w:tc>
          <w:tcPr>
            <w:tcW w:w="12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Alzheimer’s Drug Discovery Foundation</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Howard Fillit</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Howard Fillit</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Chief Science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O</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3"/>
          <w:szCs w:val="13"/>
          <w:color w:val="auto"/>
        </w:rPr>
        <w:t>NVESTORS</w:t>
      </w:r>
      <w:r>
        <w:rPr>
          <w:rFonts w:ascii="Times New Roman" w:cs="Times New Roman" w:eastAsia="Times New Roman" w:hAnsi="Times New Roman"/>
          <w:sz w:val="20"/>
          <w:szCs w:val="20"/>
          <w:color w:val="auto"/>
        </w:rPr>
        <w:t>’ R</w:t>
      </w:r>
      <w:r>
        <w:rPr>
          <w:rFonts w:ascii="Times New Roman" w:cs="Times New Roman" w:eastAsia="Times New Roman" w:hAnsi="Times New Roman"/>
          <w:sz w:val="13"/>
          <w:szCs w:val="13"/>
          <w:color w:val="auto"/>
        </w:rPr>
        <w:t>IGHTS</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BuildServ Washington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Brad Brickman</w:t>
            </w:r>
          </w:p>
        </w:tc>
      </w:tr>
      <w:tr>
        <w:trPr>
          <w:trHeight w:val="466"/>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John Bradley Brickman</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Manager</w:t>
            </w:r>
          </w:p>
        </w:tc>
        <w:tc>
          <w:tcPr>
            <w:tcW w:w="12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Carol Criner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Carol Criner</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Challenger Cable Sales Inc.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Glenn Duvall</w:t>
            </w:r>
          </w:p>
        </w:tc>
      </w:tr>
      <w:tr>
        <w:trPr>
          <w:trHeight w:val="252"/>
        </w:trPr>
        <w:tc>
          <w:tcPr>
            <w:tcW w:w="70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Glenn Duvall</w:t>
            </w:r>
          </w:p>
        </w:tc>
      </w:tr>
      <w:tr>
        <w:trPr>
          <w:trHeight w:val="457"/>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Charles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Charles Collins</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David Cadennead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David Cadennead</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Dolby Family Ventures,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Pascal N Levensohn</w:t>
            </w:r>
          </w:p>
        </w:tc>
      </w:tr>
      <w:tr>
        <w:trPr>
          <w:trHeight w:val="466"/>
        </w:trPr>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Pascal N Levensohn</w:t>
            </w:r>
          </w:p>
        </w:tc>
      </w:tr>
      <w:tr>
        <w:trPr>
          <w:trHeight w:val="443"/>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Senior Managing Director, Dolby Family</w:t>
            </w:r>
          </w:p>
        </w:tc>
      </w:tr>
      <w:tr>
        <w:trPr>
          <w:trHeight w:val="252"/>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Ventures, LP</w:t>
            </w:r>
          </w:p>
        </w:tc>
        <w:tc>
          <w:tcPr>
            <w:tcW w:w="382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Dorothy A Fluke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Dorothy A Fluke</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Doug Hampson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Doug Hampson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D-W Investments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jc w:val="center"/>
              <w:ind w:right="3021"/>
              <w:spacing w:after="0"/>
              <w:rPr>
                <w:sz w:val="20"/>
                <w:szCs w:val="20"/>
                <w:color w:val="auto"/>
              </w:rPr>
            </w:pPr>
            <w:r>
              <w:rPr>
                <w:rFonts w:ascii="Times New Roman" w:cs="Times New Roman" w:eastAsia="Times New Roman" w:hAnsi="Times New Roman"/>
                <w:sz w:val="20"/>
                <w:szCs w:val="20"/>
                <w:color w:val="auto"/>
                <w:w w:val="97"/>
              </w:rPr>
              <w:t>/s/ James W. DeYoung</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James W. DeYoung</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jc w:val="center"/>
              <w:ind w:right="3161"/>
              <w:spacing w:after="0"/>
              <w:rPr>
                <w:sz w:val="20"/>
                <w:szCs w:val="20"/>
                <w:color w:val="auto"/>
              </w:rPr>
            </w:pPr>
            <w:r>
              <w:rPr>
                <w:rFonts w:ascii="Times New Roman" w:cs="Times New Roman" w:eastAsia="Times New Roman" w:hAnsi="Times New Roman"/>
                <w:sz w:val="20"/>
                <w:szCs w:val="20"/>
                <w:color w:val="auto"/>
                <w:w w:val="98"/>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Eddie Poplawski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Eddie Poplawski</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Equity Trust Company Custodian FBO</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Rachel Amber Caska IRA</w:t>
      </w:r>
    </w:p>
    <w:p>
      <w:pPr>
        <w:spacing w:after="0" w:line="200" w:lineRule="exact"/>
        <w:rPr>
          <w:sz w:val="20"/>
          <w:szCs w:val="20"/>
          <w:color w:val="auto"/>
        </w:rPr>
      </w:pPr>
    </w:p>
    <w:p>
      <w:pPr>
        <w:spacing w:after="0" w:line="264"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Rachel Amber Caska</w:t>
            </w:r>
          </w:p>
        </w:tc>
      </w:tr>
      <w:tr>
        <w:trPr>
          <w:trHeight w:val="466"/>
        </w:trPr>
        <w:tc>
          <w:tcPr>
            <w:tcW w:w="1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Rachel Amber Caska</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Investor</w:t>
            </w:r>
          </w:p>
        </w:tc>
        <w:tc>
          <w:tcPr>
            <w:tcW w:w="16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20"/>
          <w:szCs w:val="20"/>
          <w:color w:val="auto"/>
        </w:rPr>
        <w:t>Eumorphic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Bassem Bejjani</w:t>
            </w:r>
          </w:p>
        </w:tc>
      </w:tr>
      <w:tr>
        <w:trPr>
          <w:trHeight w:val="466"/>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Bassem Bejjani</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Manager</w:t>
            </w:r>
          </w:p>
        </w:tc>
        <w:tc>
          <w:tcPr>
            <w:tcW w:w="12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Evergreen Point Foundation</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William D. Savoy</w:t>
            </w:r>
          </w:p>
        </w:tc>
      </w:tr>
      <w:tr>
        <w:trPr>
          <w:trHeight w:val="252"/>
        </w:trPr>
        <w:tc>
          <w:tcPr>
            <w:tcW w:w="70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William D. Savoy</w:t>
            </w:r>
          </w:p>
        </w:tc>
      </w:tr>
      <w:tr>
        <w:trPr>
          <w:trHeight w:val="44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Hunt Family Living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James K. Hunt</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James K. Hunt</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Trustee, Hunt Living Trust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James E. Wargone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James E. Wargone</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The Jamie Trust dated 5/30/11</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Jamie McCourt</w:t>
            </w:r>
          </w:p>
        </w:tc>
      </w:tr>
      <w:tr>
        <w:trPr>
          <w:trHeight w:val="252"/>
        </w:trPr>
        <w:tc>
          <w:tcPr>
            <w:tcW w:w="6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Jamie McCourt,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right="400"/>
        <w:spacing w:after="0" w:line="269" w:lineRule="auto"/>
        <w:rPr>
          <w:sz w:val="20"/>
          <w:szCs w:val="20"/>
          <w:color w:val="auto"/>
        </w:rPr>
      </w:pPr>
      <w:r>
        <w:rPr>
          <w:rFonts w:ascii="Times New Roman" w:cs="Times New Roman" w:eastAsia="Times New Roman" w:hAnsi="Times New Roman"/>
          <w:sz w:val="20"/>
          <w:szCs w:val="20"/>
          <w:color w:val="auto"/>
        </w:rPr>
        <w:t>John C. Rosling and Jean D. Rosling, Co-Trustees of the Jean and John Rosling Revocable Trust</w:t>
      </w:r>
    </w:p>
    <w:p>
      <w:pPr>
        <w:spacing w:after="0" w:line="200" w:lineRule="exact"/>
        <w:rPr>
          <w:sz w:val="20"/>
          <w:szCs w:val="20"/>
          <w:color w:val="auto"/>
        </w:rPr>
      </w:pPr>
    </w:p>
    <w:p>
      <w:pPr>
        <w:spacing w:after="0" w:line="229"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John C. Rosling</w:t>
            </w:r>
          </w:p>
        </w:tc>
      </w:tr>
      <w:tr>
        <w:trPr>
          <w:trHeight w:val="252"/>
        </w:trPr>
        <w:tc>
          <w:tcPr>
            <w:tcW w:w="70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John C. Rosling</w:t>
            </w:r>
          </w:p>
        </w:tc>
      </w:tr>
      <w:tr>
        <w:trPr>
          <w:trHeight w:val="44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Co-Trustee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John M. Fluke,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John M. Fluke, Jr</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Joseph W.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Joseph W. Harding</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Richard &amp; Suzanne Kayne Living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Richard Kayne</w:t>
            </w:r>
          </w:p>
        </w:tc>
      </w:tr>
      <w:tr>
        <w:trPr>
          <w:trHeight w:val="466"/>
        </w:trPr>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Richard Kayne</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Leah J. Altmayer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Leah Altmayer Berclaz</w:t>
            </w:r>
          </w:p>
        </w:tc>
      </w:tr>
      <w:tr>
        <w:trPr>
          <w:trHeight w:val="466"/>
        </w:trPr>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Leah Altmayer Berclaz</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LGI,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Evelyn M. Lynn</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Evelyn M. Lynn</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Stockholder</w:t>
            </w:r>
          </w:p>
        </w:tc>
        <w:tc>
          <w:tcPr>
            <w:tcW w:w="38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Lynne S. Fluke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Lynne S. Fluke</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545"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Magnus A. Altmayer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Magnus A. Altmayer</w:t>
            </w:r>
          </w:p>
        </w:tc>
      </w:tr>
      <w:tr>
        <w:trPr>
          <w:trHeight w:val="466"/>
        </w:trPr>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Magnus A. Altmayer</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Magnus S. Altmayer and Andrea Altmayer</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Magnus Stephen Altmayer</w:t>
            </w:r>
          </w:p>
        </w:tc>
      </w:tr>
      <w:tr>
        <w:trPr>
          <w:trHeight w:val="466"/>
        </w:trPr>
        <w:tc>
          <w:tcPr>
            <w:tcW w:w="1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Magnus Stephen Altmayer</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Individual</w:t>
            </w:r>
          </w:p>
        </w:tc>
        <w:tc>
          <w:tcPr>
            <w:tcW w:w="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Mark Stegemoeller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Mark Stegemoeller</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Michael Hilton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Michael Hilton</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Michael Nassirian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Michael Nassirian</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Mike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Mike Flynn</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Montgomery Revocable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Michael Montgomery</w:t>
            </w:r>
          </w:p>
        </w:tc>
      </w:tr>
      <w:tr>
        <w:trPr>
          <w:trHeight w:val="252"/>
        </w:trPr>
        <w:tc>
          <w:tcPr>
            <w:tcW w:w="70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Montgomery</w:t>
            </w:r>
          </w:p>
        </w:tc>
      </w:tr>
      <w:tr>
        <w:trPr>
          <w:trHeight w:val="44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20"/>
          <w:szCs w:val="20"/>
          <w:color w:val="auto"/>
        </w:rPr>
        <w:t>MontyM3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Bruce Montgomery</w:t>
            </w:r>
          </w:p>
        </w:tc>
      </w:tr>
      <w:tr>
        <w:trPr>
          <w:trHeight w:val="252"/>
        </w:trPr>
        <w:tc>
          <w:tcPr>
            <w:tcW w:w="70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Bruce Montgomery</w:t>
            </w:r>
          </w:p>
        </w:tc>
      </w:tr>
      <w:tr>
        <w:trPr>
          <w:trHeight w:val="44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Morris Holdings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John C Morris</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John C Morris</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Morris Ventures, Inc.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John C Morris</w:t>
            </w:r>
          </w:p>
        </w:tc>
      </w:tr>
      <w:tr>
        <w:trPr>
          <w:trHeight w:val="466"/>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John C Morris</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w:t>
            </w:r>
          </w:p>
        </w:tc>
        <w:tc>
          <w:tcPr>
            <w:tcW w:w="12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Pamela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Pamela Pearson</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Paul Keenan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Paul Keenan</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Robert Anderson</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Robert Sinnott 2017 GRAT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John Sinnott</w:t>
            </w:r>
          </w:p>
        </w:tc>
      </w:tr>
      <w:tr>
        <w:trPr>
          <w:trHeight w:val="466"/>
        </w:trPr>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John Sinnott</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Skye Annabel Montgomery 2012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James W Montgomery</w:t>
            </w:r>
          </w:p>
        </w:tc>
      </w:tr>
      <w:tr>
        <w:trPr>
          <w:trHeight w:val="466"/>
        </w:trPr>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James W Montgomery</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Storybook Partners,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Geda Maso Condit</w:t>
            </w:r>
          </w:p>
        </w:tc>
      </w:tr>
      <w:tr>
        <w:trPr>
          <w:trHeight w:val="466"/>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Geda Maso Condit</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Manager</w:t>
            </w:r>
          </w:p>
        </w:tc>
        <w:tc>
          <w:tcPr>
            <w:tcW w:w="12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4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The Cimler Family Trust dated June 22, 2007</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B. Melina Cimler</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 Melina Cimler</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Trustee of the Cimler Famly Trust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The James W. Montgomery 2012 Family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James W Montgomery</w:t>
            </w:r>
          </w:p>
        </w:tc>
      </w:tr>
      <w:tr>
        <w:trPr>
          <w:trHeight w:val="466"/>
        </w:trPr>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James W Montgomery</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20"/>
          <w:szCs w:val="20"/>
          <w:color w:val="auto"/>
        </w:rPr>
        <w:t>The W Fund,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Linden Rhoads</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Linden Rhoads</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General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Tome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Tome Andrade</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Washington Research Foundation</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Jeff Eby</w:t>
            </w:r>
          </w:p>
        </w:tc>
        <w:tc>
          <w:tcPr>
            <w:tcW w:w="1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r>
        <w:trPr>
          <w:trHeight w:val="466"/>
        </w:trPr>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Jeff Eby</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CFO</w:t>
            </w:r>
          </w:p>
        </w:tc>
        <w:tc>
          <w:tcPr>
            <w:tcW w:w="10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Wilbur H. Gantz III Revocable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9"/>
              </w:rPr>
              <w:t>/s/ Bill Gantz</w:t>
            </w:r>
          </w:p>
        </w:tc>
        <w:tc>
          <w:tcPr>
            <w:tcW w:w="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r>
        <w:trPr>
          <w:trHeight w:val="466"/>
        </w:trPr>
        <w:tc>
          <w:tcPr>
            <w:tcW w:w="1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Bill Gantz</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2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William D. Savoy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William D. Savoy</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Kayne Living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Richard Kayne</w:t>
            </w:r>
          </w:p>
        </w:tc>
      </w:tr>
      <w:tr>
        <w:trPr>
          <w:trHeight w:val="466"/>
        </w:trPr>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Richard Kayne</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Lansing J.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Lansing J. Stewart</w:t>
      </w:r>
    </w:p>
    <w:p>
      <w:pPr>
        <w:spacing w:after="0" w:line="200" w:lineRule="exact"/>
        <w:rPr>
          <w:sz w:val="20"/>
          <w:szCs w:val="20"/>
          <w:color w:val="auto"/>
        </w:rPr>
      </w:pP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770890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Bryan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Bryan White</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Cornova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Christopher Damico</w:t>
            </w:r>
          </w:p>
        </w:tc>
      </w:tr>
      <w:tr>
        <w:trPr>
          <w:trHeight w:val="439"/>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Christopher Damico</w:t>
            </w:r>
          </w:p>
        </w:tc>
      </w:tr>
      <w:tr>
        <w:trPr>
          <w:trHeight w:val="43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Member</w:t>
            </w:r>
          </w:p>
        </w:tc>
        <w:tc>
          <w:tcPr>
            <w:tcW w:w="40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Alvin J. Hilario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Alvin J. Hilario</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Fluke Capital Management,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Kevin Gabelein</w:t>
            </w:r>
          </w:p>
        </w:tc>
      </w:tr>
      <w:tr>
        <w:trPr>
          <w:trHeight w:val="466"/>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Kevin Gabelein</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w:t>
            </w:r>
          </w:p>
        </w:tc>
        <w:tc>
          <w:tcPr>
            <w:tcW w:w="12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Primer-Capital I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Primer Capital Partners, its General Partner</w:t>
            </w:r>
          </w:p>
        </w:tc>
      </w:tr>
      <w:tr>
        <w:trPr>
          <w:trHeight w:val="47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Sean Inggs</w:t>
            </w:r>
          </w:p>
        </w:tc>
      </w:tr>
      <w:tr>
        <w:trPr>
          <w:trHeight w:val="470"/>
        </w:trPr>
        <w:tc>
          <w:tcPr>
            <w:tcW w:w="1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Sean Inggs</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Richard Sudek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Richard Sudek</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Norm Bontje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Norm Bontje</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Mark Litton and Alicia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Mark Litton and Alicia Litton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Irrevocable Trust of OSL</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Steven Steury</w:t>
            </w:r>
          </w:p>
        </w:tc>
      </w:tr>
      <w:tr>
        <w:trPr>
          <w:trHeight w:val="256"/>
        </w:trPr>
        <w:tc>
          <w:tcPr>
            <w:tcW w:w="700" w:type="dxa"/>
            <w:vAlign w:val="bottom"/>
          </w:tcPr>
          <w:p>
            <w:pPr>
              <w:spacing w:after="0"/>
              <w:rPr>
                <w:sz w:val="22"/>
                <w:szCs w:val="22"/>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Steve Steury</w:t>
            </w:r>
          </w:p>
        </w:tc>
      </w:tr>
      <w:tr>
        <w:trPr>
          <w:trHeight w:val="4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Irrevocable Trust of SWL</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Steven Steury</w:t>
            </w:r>
          </w:p>
        </w:tc>
      </w:tr>
      <w:tr>
        <w:trPr>
          <w:trHeight w:val="256"/>
        </w:trPr>
        <w:tc>
          <w:tcPr>
            <w:tcW w:w="700" w:type="dxa"/>
            <w:vAlign w:val="bottom"/>
          </w:tcPr>
          <w:p>
            <w:pPr>
              <w:spacing w:after="0"/>
              <w:rPr>
                <w:sz w:val="22"/>
                <w:szCs w:val="22"/>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Steve Steury</w:t>
            </w:r>
          </w:p>
        </w:tc>
      </w:tr>
      <w:tr>
        <w:trPr>
          <w:trHeight w:val="4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Irrevocable Trust of WGL</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Steven Steury</w:t>
            </w:r>
          </w:p>
        </w:tc>
      </w:tr>
      <w:tr>
        <w:trPr>
          <w:trHeight w:val="256"/>
        </w:trPr>
        <w:tc>
          <w:tcPr>
            <w:tcW w:w="700" w:type="dxa"/>
            <w:vAlign w:val="bottom"/>
          </w:tcPr>
          <w:p>
            <w:pPr>
              <w:spacing w:after="0"/>
              <w:rPr>
                <w:sz w:val="22"/>
                <w:szCs w:val="22"/>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Steve Steury</w:t>
            </w:r>
          </w:p>
        </w:tc>
      </w:tr>
      <w:tr>
        <w:trPr>
          <w:trHeight w:val="4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Buena Vista Three Investment Corp.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Kenneth Iscol</w:t>
            </w:r>
          </w:p>
        </w:tc>
      </w:tr>
      <w:tr>
        <w:trPr>
          <w:trHeight w:val="470"/>
        </w:trPr>
        <w:tc>
          <w:tcPr>
            <w:tcW w:w="1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Kenneth Iscol</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Partner</w:t>
            </w:r>
          </w:p>
        </w:tc>
        <w:tc>
          <w:tcPr>
            <w:tcW w:w="20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WRF Capital</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Jeff Eby</w:t>
            </w:r>
          </w:p>
        </w:tc>
        <w:tc>
          <w:tcPr>
            <w:tcW w:w="10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tcPr>
          <w:p>
            <w:pPr>
              <w:spacing w:after="0"/>
              <w:rPr>
                <w:sz w:val="22"/>
                <w:szCs w:val="22"/>
                <w:color w:val="auto"/>
              </w:rPr>
            </w:pPr>
          </w:p>
        </w:tc>
      </w:tr>
      <w:tr>
        <w:trPr>
          <w:trHeight w:val="470"/>
        </w:trPr>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Jeff Eby</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CFO</w:t>
            </w:r>
          </w:p>
        </w:tc>
        <w:tc>
          <w:tcPr>
            <w:tcW w:w="10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Perceptive Life Sciences Master Fund Ltd.</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James H. Mannix</w:t>
            </w:r>
          </w:p>
        </w:tc>
      </w:tr>
      <w:tr>
        <w:trPr>
          <w:trHeight w:val="256"/>
        </w:trPr>
        <w:tc>
          <w:tcPr>
            <w:tcW w:w="700" w:type="dxa"/>
            <w:vAlign w:val="bottom"/>
          </w:tcPr>
          <w:p>
            <w:pPr>
              <w:spacing w:after="0"/>
              <w:rPr>
                <w:sz w:val="22"/>
                <w:szCs w:val="22"/>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James H. Mannix</w:t>
            </w:r>
          </w:p>
        </w:tc>
      </w:tr>
      <w:tr>
        <w:trPr>
          <w:trHeight w:val="457"/>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COO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RTW MASTER FUND, LTD.</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Roderick Wong</w:t>
            </w:r>
          </w:p>
        </w:tc>
      </w:tr>
      <w:tr>
        <w:trPr>
          <w:trHeight w:val="256"/>
        </w:trPr>
        <w:tc>
          <w:tcPr>
            <w:tcW w:w="6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Roderick Wong, M.D.,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The Margaret River Springs QST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Patricia Totaro</w:t>
            </w:r>
          </w:p>
        </w:tc>
      </w:tr>
      <w:tr>
        <w:trPr>
          <w:trHeight w:val="4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Patricia Totaro</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Trustee, The Margaret River Springs QST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Jonathan E. Fielding Living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Jonathan Fielding</w:t>
            </w:r>
          </w:p>
        </w:tc>
      </w:tr>
      <w:tr>
        <w:trPr>
          <w:trHeight w:val="470"/>
        </w:trPr>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Jonathan Fielding Trust</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ROCK SPRINGS CAPITAL MASTER</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FUND LP</w:t>
      </w:r>
    </w:p>
    <w:p>
      <w:pPr>
        <w:spacing w:after="0" w:line="200" w:lineRule="exact"/>
        <w:rPr>
          <w:sz w:val="20"/>
          <w:szCs w:val="20"/>
          <w:color w:val="auto"/>
        </w:rPr>
      </w:pPr>
    </w:p>
    <w:p>
      <w:pPr>
        <w:spacing w:after="0" w:line="264"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Rock Springs General Partner LLC, its General Partner</w:t>
            </w:r>
          </w:p>
        </w:tc>
      </w:tr>
      <w:tr>
        <w:trPr>
          <w:trHeight w:val="49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Mark Bussard</w:t>
            </w:r>
          </w:p>
        </w:tc>
      </w:tr>
      <w:tr>
        <w:trPr>
          <w:trHeight w:val="470"/>
        </w:trPr>
        <w:tc>
          <w:tcPr>
            <w:tcW w:w="1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Mark Bussard</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Member</w:t>
            </w:r>
          </w:p>
        </w:tc>
        <w:tc>
          <w:tcPr>
            <w:tcW w:w="14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Ditch Plains Private Investments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Mark Varrichio</w:t>
            </w:r>
          </w:p>
        </w:tc>
      </w:tr>
      <w:tr>
        <w:trPr>
          <w:trHeight w:val="256"/>
        </w:trPr>
        <w:tc>
          <w:tcPr>
            <w:tcW w:w="700" w:type="dxa"/>
            <w:vAlign w:val="bottom"/>
          </w:tcPr>
          <w:p>
            <w:pPr>
              <w:spacing w:after="0"/>
              <w:rPr>
                <w:sz w:val="22"/>
                <w:szCs w:val="22"/>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 Varrichio</w:t>
            </w:r>
          </w:p>
        </w:tc>
      </w:tr>
      <w:tr>
        <w:trPr>
          <w:trHeight w:val="457"/>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FOUR PINES MASTER FUND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Four Pines General Partner LLC, its General Partner</w:t>
            </w:r>
          </w:p>
        </w:tc>
      </w:tr>
      <w:tr>
        <w:trPr>
          <w:trHeight w:val="49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Mark Bussard</w:t>
            </w:r>
          </w:p>
        </w:tc>
      </w:tr>
      <w:tr>
        <w:trPr>
          <w:trHeight w:val="470"/>
        </w:trPr>
        <w:tc>
          <w:tcPr>
            <w:tcW w:w="1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Mark Bussard</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Member</w:t>
            </w:r>
          </w:p>
        </w:tc>
        <w:tc>
          <w:tcPr>
            <w:tcW w:w="14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Janus Henderson Horizon Fund –</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Biotechnology Fund</w:t>
      </w:r>
    </w:p>
    <w:p>
      <w:pPr>
        <w:spacing w:after="0" w:line="200" w:lineRule="exact"/>
        <w:rPr>
          <w:sz w:val="20"/>
          <w:szCs w:val="20"/>
          <w:color w:val="auto"/>
        </w:rPr>
      </w:pPr>
    </w:p>
    <w:p>
      <w:pPr>
        <w:spacing w:after="0" w:line="264"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Janus Capital Management LLC, its investment advisor</w:t>
            </w:r>
          </w:p>
        </w:tc>
      </w:tr>
      <w:tr>
        <w:trPr>
          <w:trHeight w:val="49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Andrew Acker</w:t>
            </w:r>
          </w:p>
        </w:tc>
      </w:tr>
      <w:tr>
        <w:trPr>
          <w:trHeight w:val="256"/>
        </w:trPr>
        <w:tc>
          <w:tcPr>
            <w:tcW w:w="6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Andrew Acker,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Avidity Master Fund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Avidity Capital Partners Fund (GP) LP</w:t>
            </w:r>
          </w:p>
        </w:tc>
      </w:tr>
      <w:tr>
        <w:trPr>
          <w:trHeight w:val="486"/>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Avidity Capital Partners (GP) LLC, its General Partner</w:t>
            </w:r>
          </w:p>
        </w:tc>
      </w:tr>
      <w:tr>
        <w:trPr>
          <w:trHeight w:val="49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Michael Gregory</w:t>
            </w:r>
          </w:p>
        </w:tc>
      </w:tr>
      <w:tr>
        <w:trPr>
          <w:trHeight w:val="256"/>
        </w:trPr>
        <w:tc>
          <w:tcPr>
            <w:tcW w:w="6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Michael Gregory, 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Tai-Li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Tai-Li Chang</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Mark F.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Mark Worthington</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Eugene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Eugene Kim</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Peter Neuwirth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Peter Neuwirth</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LifeSci Venture Partners II,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Paul Yook</w:t>
            </w:r>
          </w:p>
        </w:tc>
      </w:tr>
      <w:tr>
        <w:trPr>
          <w:trHeight w:val="256"/>
        </w:trPr>
        <w:tc>
          <w:tcPr>
            <w:tcW w:w="6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Paul Yook, 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LifeSci Venture Master SPV,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Paul Yook</w:t>
            </w:r>
          </w:p>
        </w:tc>
      </w:tr>
      <w:tr>
        <w:trPr>
          <w:trHeight w:val="256"/>
        </w:trPr>
        <w:tc>
          <w:tcPr>
            <w:tcW w:w="6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Paul Yook, 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Sherman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Sherman Griffin</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Curtis S.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36" w:lineRule="exact"/>
        <w:rPr>
          <w:sz w:val="20"/>
          <w:szCs w:val="20"/>
          <w:color w:val="auto"/>
        </w:rPr>
      </w:pPr>
    </w:p>
    <w:p>
      <w:pPr>
        <w:ind w:left="4740"/>
        <w:spacing w:after="0"/>
        <w:tabs>
          <w:tab w:leader="none" w:pos="6440" w:val="left"/>
        </w:tabs>
        <w:rPr>
          <w:sz w:val="20"/>
          <w:szCs w:val="20"/>
          <w:color w:val="auto"/>
        </w:rPr>
      </w:pPr>
      <w:r>
        <w:rPr>
          <w:rFonts w:ascii="Times New Roman" w:cs="Times New Roman" w:eastAsia="Times New Roman" w:hAnsi="Times New Roman"/>
          <w:sz w:val="20"/>
          <w:szCs w:val="20"/>
          <w:color w:val="auto"/>
        </w:rPr>
        <w:t>Printed Name:</w:t>
      </w:r>
      <w:r>
        <w:rPr>
          <w:sz w:val="20"/>
          <w:szCs w:val="20"/>
          <w:color w:val="auto"/>
        </w:rPr>
        <w:tab/>
      </w:r>
      <w:r>
        <w:rPr>
          <w:rFonts w:ascii="Times New Roman" w:cs="Times New Roman" w:eastAsia="Times New Roman" w:hAnsi="Times New Roman"/>
          <w:sz w:val="19"/>
          <w:szCs w:val="19"/>
          <w:color w:val="auto"/>
        </w:rPr>
        <w:t>Curtis S.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13970</wp:posOffset>
            </wp:positionV>
            <wp:extent cx="24771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Andrew J. Weisenfeld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36" w:lineRule="exact"/>
        <w:rPr>
          <w:sz w:val="20"/>
          <w:szCs w:val="20"/>
          <w:color w:val="auto"/>
        </w:rPr>
      </w:pPr>
    </w:p>
    <w:p>
      <w:pPr>
        <w:ind w:left="4740"/>
        <w:spacing w:after="0"/>
        <w:tabs>
          <w:tab w:leader="none" w:pos="6440" w:val="left"/>
        </w:tabs>
        <w:rPr>
          <w:sz w:val="20"/>
          <w:szCs w:val="20"/>
          <w:color w:val="auto"/>
        </w:rPr>
      </w:pPr>
      <w:r>
        <w:rPr>
          <w:rFonts w:ascii="Times New Roman" w:cs="Times New Roman" w:eastAsia="Times New Roman" w:hAnsi="Times New Roman"/>
          <w:sz w:val="20"/>
          <w:szCs w:val="20"/>
          <w:color w:val="auto"/>
        </w:rPr>
        <w:t>Printed Name:</w:t>
      </w:r>
      <w:r>
        <w:rPr>
          <w:sz w:val="20"/>
          <w:szCs w:val="20"/>
          <w:color w:val="auto"/>
        </w:rPr>
        <w:tab/>
      </w:r>
      <w:r>
        <w:rPr>
          <w:rFonts w:ascii="Times New Roman" w:cs="Times New Roman" w:eastAsia="Times New Roman" w:hAnsi="Times New Roman"/>
          <w:sz w:val="19"/>
          <w:szCs w:val="19"/>
          <w:color w:val="auto"/>
        </w:rPr>
        <w:t>Andrew J. Weisenfeld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13970</wp:posOffset>
            </wp:positionV>
            <wp:extent cx="24771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Janus Henderson Biotech Innovation Master</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Fund Limited</w:t>
      </w:r>
    </w:p>
    <w:p>
      <w:pPr>
        <w:spacing w:after="0" w:line="200" w:lineRule="exact"/>
        <w:rPr>
          <w:sz w:val="20"/>
          <w:szCs w:val="20"/>
          <w:color w:val="auto"/>
        </w:rPr>
      </w:pPr>
    </w:p>
    <w:p>
      <w:pPr>
        <w:spacing w:after="0" w:line="264"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Janus Capital Management LLC, its investment advisor</w:t>
            </w:r>
          </w:p>
        </w:tc>
      </w:tr>
      <w:tr>
        <w:trPr>
          <w:trHeight w:val="476"/>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Andrew Acker</w:t>
            </w:r>
          </w:p>
        </w:tc>
      </w:tr>
      <w:tr>
        <w:trPr>
          <w:trHeight w:val="256"/>
        </w:trPr>
        <w:tc>
          <w:tcPr>
            <w:tcW w:w="6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Andrew Acker,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45"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The Mohn Family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62"/>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Jarl Mohn</w:t>
            </w:r>
          </w:p>
        </w:tc>
      </w:tr>
      <w:tr>
        <w:trPr>
          <w:trHeight w:val="256"/>
        </w:trPr>
        <w:tc>
          <w:tcPr>
            <w:tcW w:w="6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Jarl Mohn,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VENROCK HEALTHCARE CAPITAL PARTNERS III,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VHCP Management III, LLC, its General Partner</w:t>
            </w:r>
          </w:p>
        </w:tc>
      </w:tr>
      <w:tr>
        <w:trPr>
          <w:trHeight w:val="49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Nimish Shah</w:t>
            </w:r>
          </w:p>
        </w:tc>
      </w:tr>
      <w:tr>
        <w:trPr>
          <w:trHeight w:val="256"/>
        </w:trPr>
        <w:tc>
          <w:tcPr>
            <w:tcW w:w="8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Nimish Shah</w:t>
            </w:r>
          </w:p>
        </w:tc>
      </w:tr>
      <w:tr>
        <w:trPr>
          <w:trHeight w:val="4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VHCP CO-INVESTMENT HOLDINGS III,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VHCP Management III, LLC</w:t>
            </w:r>
          </w:p>
        </w:tc>
      </w:tr>
      <w:tr>
        <w:trPr>
          <w:trHeight w:val="49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Nimish Shah</w:t>
            </w:r>
          </w:p>
        </w:tc>
      </w:tr>
      <w:tr>
        <w:trPr>
          <w:trHeight w:val="256"/>
        </w:trPr>
        <w:tc>
          <w:tcPr>
            <w:tcW w:w="8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Nimish Shah</w:t>
            </w:r>
          </w:p>
        </w:tc>
      </w:tr>
      <w:tr>
        <w:trPr>
          <w:trHeight w:val="4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Linden Rhoads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Linden Rhoads</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Howard Murad Revocable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Howard Murad</w:t>
            </w:r>
          </w:p>
        </w:tc>
      </w:tr>
      <w:tr>
        <w:trPr>
          <w:trHeight w:val="252"/>
        </w:trPr>
        <w:tc>
          <w:tcPr>
            <w:tcW w:w="6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Howard Murad,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Anthony Lo and Susan Scanlan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Anthony Lo and Susan Scanlan</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Adam Cathey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Adam Cathey</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Justin Findley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Justin Findley</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Alphacentric LifeSci Healthcare Fund</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Mutual Fund Series Trust, on its behalf</w:t>
            </w:r>
          </w:p>
        </w:tc>
      </w:tr>
      <w:tr>
        <w:trPr>
          <w:trHeight w:val="44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Erik Naviloff</w:t>
            </w:r>
          </w:p>
        </w:tc>
      </w:tr>
      <w:tr>
        <w:trPr>
          <w:trHeight w:val="252"/>
        </w:trPr>
        <w:tc>
          <w:tcPr>
            <w:tcW w:w="6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Erik Naviloff,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Susskind Family Trust</w:t>
      </w:r>
    </w:p>
    <w:p>
      <w:pPr>
        <w:spacing w:after="0" w:line="200" w:lineRule="exact"/>
        <w:rPr>
          <w:sz w:val="20"/>
          <w:szCs w:val="20"/>
          <w:color w:val="auto"/>
        </w:rPr>
      </w:pPr>
    </w:p>
    <w:p>
      <w:pPr>
        <w:spacing w:after="0" w:line="286" w:lineRule="exact"/>
        <w:rPr>
          <w:sz w:val="20"/>
          <w:szCs w:val="20"/>
          <w:color w:val="auto"/>
        </w:rPr>
      </w:pPr>
    </w:p>
    <w:p>
      <w:pPr>
        <w:ind w:left="4740"/>
        <w:spacing w:after="0"/>
        <w:tabs>
          <w:tab w:leader="none" w:pos="5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Jeffrey Susskind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13970</wp:posOffset>
            </wp:positionV>
            <wp:extent cx="31546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Jeffrey Susskind,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The Moise Emquies Trust dated 2/15/2019</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Moise Emquies</w:t>
            </w:r>
          </w:p>
        </w:tc>
      </w:tr>
      <w:tr>
        <w:trPr>
          <w:trHeight w:val="252"/>
        </w:trPr>
        <w:tc>
          <w:tcPr>
            <w:tcW w:w="82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Moise Emquies</w:t>
            </w:r>
          </w:p>
        </w:tc>
      </w:tr>
      <w:tr>
        <w:trPr>
          <w:trHeight w:val="4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RTW INNOVATION MASTER FUND, LTD.</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Roderick Wong</w:t>
            </w:r>
          </w:p>
        </w:tc>
      </w:tr>
      <w:tr>
        <w:trPr>
          <w:trHeight w:val="252"/>
        </w:trPr>
        <w:tc>
          <w:tcPr>
            <w:tcW w:w="72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Roderick Wong, M.D.,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RTW VENTURE FUND LIMITED</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RTW Investments, LP, its Investment Manager</w:t>
            </w:r>
          </w:p>
        </w:tc>
      </w:tr>
      <w:tr>
        <w:trPr>
          <w:trHeight w:val="43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Roderick Wong</w:t>
            </w:r>
          </w:p>
        </w:tc>
      </w:tr>
      <w:tr>
        <w:trPr>
          <w:trHeight w:val="252"/>
        </w:trPr>
        <w:tc>
          <w:tcPr>
            <w:tcW w:w="72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Roderick Wong, M.D.,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Brian Arbogast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Brian Arbogast</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768350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CITADEL MULTI-STRATEGY EQUITIES MASTER FUND LTD.</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Citadel Advisors LLC, its portfolio manager</w:t>
            </w:r>
          </w:p>
        </w:tc>
      </w:tr>
      <w:tr>
        <w:trPr>
          <w:trHeight w:val="43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Noah Goldberg</w:t>
            </w:r>
          </w:p>
        </w:tc>
      </w:tr>
      <w:tr>
        <w:trPr>
          <w:trHeight w:val="4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Noah Goldberg</w:t>
            </w: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AGE 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NVESTORS</w:t>
      </w:r>
      <w:r>
        <w:rPr>
          <w:rFonts w:ascii="Times New Roman" w:cs="Times New Roman" w:eastAsia="Times New Roman" w:hAnsi="Times New Roman"/>
          <w:sz w:val="20"/>
          <w:szCs w:val="20"/>
          <w:b w:val="1"/>
          <w:bCs w:val="1"/>
          <w:color w:val="auto"/>
        </w:rPr>
        <w:t>’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222250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2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FRANKLIN STRATEGIC SERIES –</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FRANKLIN BIOTECHNOLOGY DISCOVERY FUND</w:t>
      </w:r>
    </w:p>
    <w:p>
      <w:pPr>
        <w:spacing w:after="0" w:line="200" w:lineRule="exact"/>
        <w:rPr>
          <w:sz w:val="20"/>
          <w:szCs w:val="20"/>
          <w:color w:val="auto"/>
        </w:rPr>
      </w:pPr>
    </w:p>
    <w:p>
      <w:pPr>
        <w:spacing w:after="0" w:line="210"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20"/>
          <w:szCs w:val="20"/>
          <w:color w:val="auto"/>
        </w:rPr>
        <w:t>By: Franklin Advisers, as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Investor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name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Evan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Evan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signatory</w:t>
      </w:r>
      <w:r>
        <w:rPr>
          <w:rFonts w:ascii="Times New Roman" w:cs="Times New Roman" w:eastAsia="Times New Roman" w:hAnsi="Times New Roman"/>
          <w:sz w:val="20"/>
          <w:szCs w:val="20"/>
          <w:i w:val="1"/>
          <w:iCs w:val="1"/>
          <w:color w:val="auto"/>
        </w:rPr>
        <w:t>, if signing for an entity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title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signatory</w:t>
      </w:r>
      <w:r>
        <w:rPr>
          <w:rFonts w:ascii="Times New Roman" w:cs="Times New Roman" w:eastAsia="Times New Roman" w:hAnsi="Times New Roman"/>
          <w:sz w:val="20"/>
          <w:szCs w:val="20"/>
          <w:i w:val="1"/>
          <w:iCs w:val="1"/>
          <w:color w:val="auto"/>
        </w:rPr>
        <w:t>, if signing for an entity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AGE 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NVESTORS</w:t>
      </w:r>
      <w:r>
        <w:rPr>
          <w:rFonts w:ascii="Times New Roman" w:cs="Times New Roman" w:eastAsia="Times New Roman" w:hAnsi="Times New Roman"/>
          <w:sz w:val="20"/>
          <w:szCs w:val="20"/>
          <w:b w:val="1"/>
          <w:bCs w:val="1"/>
          <w:color w:val="auto"/>
        </w:rPr>
        <w:t>’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222250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500"/>
          </w:cols>
          <w:pgMar w:left="1200" w:top="329" w:right="11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2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FRANKLIN TEMPLETON INVESTMENT</w:t>
      </w:r>
    </w:p>
    <w:p>
      <w:pPr>
        <w:spacing w:after="0" w:line="2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FUNDS – FRANKLIN BIOTECHNOLOGY</w:t>
      </w:r>
    </w:p>
    <w:p>
      <w:pPr>
        <w:ind w:left="4740"/>
        <w:spacing w:after="0"/>
        <w:rPr>
          <w:sz w:val="20"/>
          <w:szCs w:val="20"/>
          <w:color w:val="auto"/>
        </w:rPr>
      </w:pPr>
      <w:r>
        <w:rPr>
          <w:rFonts w:ascii="Times New Roman" w:cs="Times New Roman" w:eastAsia="Times New Roman" w:hAnsi="Times New Roman"/>
          <w:sz w:val="20"/>
          <w:szCs w:val="20"/>
          <w:color w:val="auto"/>
        </w:rPr>
        <w:t>DISCOVERY FUND</w:t>
      </w:r>
    </w:p>
    <w:p>
      <w:pPr>
        <w:spacing w:after="0" w:line="200" w:lineRule="exact"/>
        <w:rPr>
          <w:sz w:val="20"/>
          <w:szCs w:val="20"/>
          <w:color w:val="auto"/>
        </w:rPr>
      </w:pPr>
    </w:p>
    <w:p>
      <w:pPr>
        <w:spacing w:after="0" w:line="210"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20"/>
          <w:szCs w:val="20"/>
          <w:color w:val="auto"/>
        </w:rPr>
        <w:t>By: Franklin Advisers, as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Investor name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Evan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Evan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 of signatory, if signing for an entity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title of signatory, if signing for an entity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AGE 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NVESTORS</w:t>
      </w:r>
      <w:r>
        <w:rPr>
          <w:rFonts w:ascii="Times New Roman" w:cs="Times New Roman" w:eastAsia="Times New Roman" w:hAnsi="Times New Roman"/>
          <w:sz w:val="20"/>
          <w:szCs w:val="20"/>
          <w:b w:val="1"/>
          <w:bCs w:val="1"/>
          <w:color w:val="auto"/>
        </w:rPr>
        <w:t>’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222250</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00" w:top="545" w:right="12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VIKING GLOBAL OPPORTUNITIES ILLIQUID</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INVESTMENTS SUB-MASTER LP</w:t>
      </w:r>
    </w:p>
    <w:p>
      <w:pPr>
        <w:spacing w:after="0" w:line="200" w:lineRule="exact"/>
        <w:rPr>
          <w:sz w:val="20"/>
          <w:szCs w:val="20"/>
          <w:color w:val="auto"/>
        </w:rPr>
      </w:pPr>
    </w:p>
    <w:p>
      <w:pPr>
        <w:spacing w:after="0" w:line="263"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Viking Global Opportunities Portfolio GP LLC, its</w:t>
            </w:r>
          </w:p>
        </w:tc>
      </w:tr>
      <w:tr>
        <w:trPr>
          <w:trHeight w:val="258"/>
        </w:trPr>
        <w:tc>
          <w:tcPr>
            <w:tcW w:w="100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43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Matthew Bloom</w:t>
            </w:r>
          </w:p>
        </w:tc>
      </w:tr>
      <w:tr>
        <w:trPr>
          <w:trHeight w:val="214"/>
        </w:trPr>
        <w:tc>
          <w:tcPr>
            <w:tcW w:w="100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Name:</w:t>
            </w:r>
          </w:p>
        </w:tc>
        <w:tc>
          <w:tcPr>
            <w:tcW w:w="462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Matthew Bloom</w:t>
            </w: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AGE 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NVESTORS</w:t>
      </w:r>
      <w:r>
        <w:rPr>
          <w:rFonts w:ascii="Times New Roman" w:cs="Times New Roman" w:eastAsia="Times New Roman" w:hAnsi="Times New Roman"/>
          <w:sz w:val="20"/>
          <w:szCs w:val="20"/>
          <w:b w:val="1"/>
          <w:bCs w:val="1"/>
          <w:color w:val="auto"/>
        </w:rPr>
        <w:t>’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222250</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Logos Opportunities Fund II. L.P.</w:t>
      </w:r>
    </w:p>
    <w:p>
      <w:pPr>
        <w:spacing w:after="0" w:line="243"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Logos Opportunities GP, LLC, its General Partner</w:t>
            </w: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Graham Walmsley</w:t>
            </w:r>
          </w:p>
        </w:tc>
      </w:tr>
      <w:tr>
        <w:trPr>
          <w:trHeight w:val="252"/>
        </w:trPr>
        <w:tc>
          <w:tcPr>
            <w:tcW w:w="86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Graham Walmsley,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Sofinnova Venture Partners X,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Sofinnova Management X, L.L.C., its General Partner</w:t>
            </w:r>
          </w:p>
        </w:tc>
      </w:tr>
      <w:tr>
        <w:trPr>
          <w:trHeight w:val="43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Maha Katabi</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Maha Katabi</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The Heath and Carrie Lukatch Revocable</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Family Trust</w:t>
      </w:r>
    </w:p>
    <w:p>
      <w:pPr>
        <w:spacing w:after="0" w:line="200" w:lineRule="exact"/>
        <w:rPr>
          <w:sz w:val="20"/>
          <w:szCs w:val="20"/>
          <w:color w:val="auto"/>
        </w:rPr>
      </w:pPr>
    </w:p>
    <w:p>
      <w:pPr>
        <w:spacing w:after="0" w:line="264"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Heath Lukatch</w:t>
            </w:r>
          </w:p>
        </w:tc>
      </w:tr>
      <w:tr>
        <w:trPr>
          <w:trHeight w:val="252"/>
        </w:trPr>
        <w:tc>
          <w:tcPr>
            <w:tcW w:w="70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Heath Lukatch</w:t>
            </w:r>
          </w:p>
        </w:tc>
      </w:tr>
      <w:tr>
        <w:trPr>
          <w:trHeight w:val="457"/>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Avidity Capital Fund II LP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Avidity Capital Partners Fund (GP) LP</w:t>
            </w:r>
          </w:p>
        </w:tc>
      </w:tr>
      <w:tr>
        <w:trPr>
          <w:trHeight w:val="445"/>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Avidity Capital Partners (GP) LLC, its General Partner</w:t>
            </w:r>
          </w:p>
        </w:tc>
      </w:tr>
      <w:tr>
        <w:trPr>
          <w:trHeight w:val="44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Michael Gregory</w:t>
            </w:r>
          </w:p>
        </w:tc>
      </w:tr>
      <w:tr>
        <w:trPr>
          <w:trHeight w:val="252"/>
        </w:trPr>
        <w:tc>
          <w:tcPr>
            <w:tcW w:w="6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Michael Gregory, 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KEY HOLDER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Leen Kawas</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KEY HOLDER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Hamdan Family GST Trust</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Latifa Qayoum</w:t>
            </w:r>
          </w:p>
        </w:tc>
      </w:tr>
      <w:tr>
        <w:trPr>
          <w:trHeight w:val="466"/>
        </w:trPr>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Latifa Qayoum</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Trustee</w:t>
            </w:r>
          </w:p>
        </w:tc>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KEY HOLDER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PN Biotechnology,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John William Pariseau</w:t>
            </w:r>
          </w:p>
        </w:tc>
      </w:tr>
      <w:tr>
        <w:trPr>
          <w:trHeight w:val="466"/>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John William Pariseau</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Manager</w:t>
            </w:r>
          </w:p>
        </w:tc>
        <w:tc>
          <w:tcPr>
            <w:tcW w:w="12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KEY HOLDER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Joseph W.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Joseph W. Harding</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KEY HOLDER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Washington Research Foundation</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Jeff Eby</w:t>
            </w:r>
          </w:p>
        </w:tc>
        <w:tc>
          <w:tcPr>
            <w:tcW w:w="1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r>
        <w:trPr>
          <w:trHeight w:val="466"/>
        </w:trPr>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Jeff Eby</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CFO</w:t>
            </w:r>
          </w:p>
        </w:tc>
        <w:tc>
          <w:tcPr>
            <w:tcW w:w="10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Potomac Partners Ltd.</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Lee Hobson</w:t>
            </w:r>
          </w:p>
        </w:tc>
      </w:tr>
      <w:tr>
        <w:trPr>
          <w:trHeight w:val="252"/>
        </w:trPr>
        <w:tc>
          <w:tcPr>
            <w:tcW w:w="70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Lee Hobson</w:t>
            </w:r>
          </w:p>
        </w:tc>
      </w:tr>
      <w:tr>
        <w:trPr>
          <w:trHeight w:val="4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General Partner, Potomac Partners LTD</w:t>
            </w:r>
          </w:p>
        </w:tc>
      </w:tr>
      <w:tr>
        <w:trPr>
          <w:trHeight w:val="43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52"/>
        </w:trPr>
        <w:tc>
          <w:tcPr>
            <w:tcW w:w="70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Marc Vice</w:t>
            </w:r>
          </w:p>
        </w:tc>
      </w:tr>
      <w:tr>
        <w:trPr>
          <w:trHeight w:val="457"/>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Hayden S.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Hayden S. Slater Living Trust dated July 26, 2016</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Michael Targoff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TGI Holdings, LLC</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Kayne Family Partnership</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Mark Morski</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Mark Morski</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Member of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KA-Sabes Investments,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Michael O’Neil</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Michael O’Neil</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KA-Sabes Investments II, LLC</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 Michael O’Neil</w:t>
            </w:r>
          </w:p>
        </w:tc>
      </w:tr>
      <w:tr>
        <w:trPr>
          <w:trHeight w:val="4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Michael O’Neil</w:t>
            </w:r>
          </w:p>
        </w:tc>
      </w:tr>
      <w:tr>
        <w:trPr>
          <w:trHeight w:val="4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Gary Lieberthal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Lieberthal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Patricia Neuwirth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Patricia Neuwirth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Peter Neuwirth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13970</wp:posOffset>
            </wp:positionV>
            <wp:extent cx="3566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Peter H. Neuwirth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Effective Date.</w:t>
      </w: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WS Investment Company, LLC (20A)</w:t>
      </w:r>
    </w:p>
    <w:p>
      <w:pPr>
        <w:spacing w:after="0" w:line="200" w:lineRule="exact"/>
        <w:rPr>
          <w:sz w:val="20"/>
          <w:szCs w:val="20"/>
          <w:color w:val="auto"/>
        </w:rPr>
      </w:pPr>
    </w:p>
    <w:p>
      <w:pPr>
        <w:spacing w:after="0" w:line="286" w:lineRule="exact"/>
        <w:rPr>
          <w:sz w:val="20"/>
          <w:szCs w:val="20"/>
          <w:color w:val="auto"/>
        </w:rPr>
      </w:pPr>
    </w:p>
    <w:tbl>
      <w:tblPr>
        <w:tblLayout w:type="fixed"/>
        <w:tblInd w:w="474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S. M. Nordtvedt</w:t>
            </w:r>
          </w:p>
        </w:tc>
      </w:tr>
      <w:tr>
        <w:trPr>
          <w:trHeight w:val="252"/>
        </w:trPr>
        <w:tc>
          <w:tcPr>
            <w:tcW w:w="70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Nordtvedt</w:t>
            </w:r>
          </w:p>
        </w:tc>
      </w:tr>
      <w:tr>
        <w:trPr>
          <w:trHeight w:val="44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9"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9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/s/ Mark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13970</wp:posOffset>
            </wp:positionV>
            <wp:extent cx="35750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236" w:lineRule="exact"/>
        <w:rPr>
          <w:sz w:val="20"/>
          <w:szCs w:val="20"/>
          <w:color w:val="auto"/>
        </w:rPr>
      </w:pPr>
    </w:p>
    <w:p>
      <w:pPr>
        <w:ind w:left="4700"/>
        <w:spacing w:after="0"/>
        <w:tabs>
          <w:tab w:leader="none" w:pos="6320" w:val="left"/>
        </w:tabs>
        <w:rPr>
          <w:sz w:val="20"/>
          <w:szCs w:val="20"/>
          <w:color w:val="auto"/>
        </w:rPr>
      </w:pPr>
      <w:r>
        <w:rPr>
          <w:rFonts w:ascii="Times New Roman" w:cs="Times New Roman" w:eastAsia="Times New Roman" w:hAnsi="Times New Roman"/>
          <w:sz w:val="20"/>
          <w:szCs w:val="20"/>
          <w:color w:val="auto"/>
        </w:rPr>
        <w:t>Printed Name:</w:t>
      </w:r>
      <w:r>
        <w:rPr>
          <w:sz w:val="20"/>
          <w:szCs w:val="20"/>
          <w:color w:val="auto"/>
        </w:rPr>
        <w:tab/>
      </w:r>
      <w:r>
        <w:rPr>
          <w:rFonts w:ascii="Times New Roman" w:cs="Times New Roman" w:eastAsia="Times New Roman" w:hAnsi="Times New Roman"/>
          <w:sz w:val="19"/>
          <w:szCs w:val="19"/>
          <w:color w:val="auto"/>
        </w:rPr>
        <w:t>Mark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13970</wp:posOffset>
            </wp:positionV>
            <wp:extent cx="25546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9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/s/ Curtis S.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13970</wp:posOffset>
            </wp:positionV>
            <wp:extent cx="35750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236" w:lineRule="exact"/>
        <w:rPr>
          <w:sz w:val="20"/>
          <w:szCs w:val="20"/>
          <w:color w:val="auto"/>
        </w:rPr>
      </w:pPr>
    </w:p>
    <w:p>
      <w:pPr>
        <w:ind w:left="4700"/>
        <w:spacing w:after="0"/>
        <w:tabs>
          <w:tab w:leader="none" w:pos="6320" w:val="left"/>
        </w:tabs>
        <w:rPr>
          <w:sz w:val="20"/>
          <w:szCs w:val="20"/>
          <w:color w:val="auto"/>
        </w:rPr>
      </w:pPr>
      <w:r>
        <w:rPr>
          <w:rFonts w:ascii="Times New Roman" w:cs="Times New Roman" w:eastAsia="Times New Roman" w:hAnsi="Times New Roman"/>
          <w:sz w:val="20"/>
          <w:szCs w:val="20"/>
          <w:color w:val="auto"/>
        </w:rPr>
        <w:t>Printed Name:</w:t>
      </w:r>
      <w:r>
        <w:rPr>
          <w:sz w:val="20"/>
          <w:szCs w:val="20"/>
          <w:color w:val="auto"/>
        </w:rPr>
        <w:tab/>
      </w:r>
      <w:r>
        <w:rPr>
          <w:rFonts w:ascii="Times New Roman" w:cs="Times New Roman" w:eastAsia="Times New Roman" w:hAnsi="Times New Roman"/>
          <w:sz w:val="19"/>
          <w:szCs w:val="19"/>
          <w:color w:val="auto"/>
        </w:rPr>
        <w:t>Curtis S.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13970</wp:posOffset>
            </wp:positionV>
            <wp:extent cx="25546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9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/s/ Andrew J. Weisenfeld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13970</wp:posOffset>
            </wp:positionV>
            <wp:extent cx="357505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236" w:lineRule="exact"/>
        <w:rPr>
          <w:sz w:val="20"/>
          <w:szCs w:val="20"/>
          <w:color w:val="auto"/>
        </w:rPr>
      </w:pPr>
    </w:p>
    <w:p>
      <w:pPr>
        <w:ind w:left="4700"/>
        <w:spacing w:after="0"/>
        <w:tabs>
          <w:tab w:leader="none" w:pos="6320" w:val="left"/>
        </w:tabs>
        <w:rPr>
          <w:sz w:val="20"/>
          <w:szCs w:val="20"/>
          <w:color w:val="auto"/>
        </w:rPr>
      </w:pPr>
      <w:r>
        <w:rPr>
          <w:rFonts w:ascii="Times New Roman" w:cs="Times New Roman" w:eastAsia="Times New Roman" w:hAnsi="Times New Roman"/>
          <w:sz w:val="20"/>
          <w:szCs w:val="20"/>
          <w:color w:val="auto"/>
        </w:rPr>
        <w:t>Printed Name:</w:t>
      </w:r>
      <w:r>
        <w:rPr>
          <w:sz w:val="20"/>
          <w:szCs w:val="20"/>
          <w:color w:val="auto"/>
        </w:rPr>
        <w:tab/>
      </w:r>
      <w:r>
        <w:rPr>
          <w:rFonts w:ascii="Times New Roman" w:cs="Times New Roman" w:eastAsia="Times New Roman" w:hAnsi="Times New Roman"/>
          <w:sz w:val="19"/>
          <w:szCs w:val="19"/>
          <w:color w:val="auto"/>
        </w:rPr>
        <w:t>Andrew J. Weisenfeld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13970</wp:posOffset>
            </wp:positionV>
            <wp:extent cx="25546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00" w:lineRule="exact"/>
        <w:rPr>
          <w:sz w:val="20"/>
          <w:szCs w:val="20"/>
          <w:color w:val="auto"/>
        </w:rPr>
      </w:pPr>
    </w:p>
    <w:p>
      <w:pPr>
        <w:spacing w:after="0" w:line="29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KEY HOLDER</w:t>
      </w:r>
    </w:p>
    <w:p>
      <w:pPr>
        <w:spacing w:after="0" w:line="2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/s/ John 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13970</wp:posOffset>
            </wp:positionV>
            <wp:extent cx="35750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John 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4445</wp:posOffset>
            </wp:positionV>
            <wp:extent cx="357505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2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May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13970</wp:posOffset>
            </wp:positionV>
            <wp:extent cx="35915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Signature Page to A&amp;R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219710</wp:posOffset>
            </wp:positionV>
            <wp:extent cx="71494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9" w:right="1440" w:bottom="1440" w:gutter="0" w:footer="0" w:header="0"/>
        </w:sectPr>
      </w:pPr>
    </w:p>
    <w:bookmarkStart w:id="236" w:name="page237"/>
    <w:bookmarkEnd w:id="236"/>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Adam Cathey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AlphaCentric LifeSci Healthcare Fund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Altmayer Family Investments,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Alvin J. Hilario</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Alzheimer's Drug Discovery Foundation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Anthony Lo and Susan Scanlan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Avidity Capital Fund II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Avidity Master Fund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Brian Arbogast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Bryan White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Buena Vista Three Investment Corp.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BuildServ Washington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Carol Criner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Challenger Cable Sales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Charles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494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29"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0"/>
          <w:szCs w:val="20"/>
          <w:color w:val="auto"/>
        </w:rPr>
        <w:t>Citadel Multi-Strategy Equities Master Fund Ltd.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Cornova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Cadenhead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Ditch Plains Private Investments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Dolby Family Ventures,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Dorothy A. Fluke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Doug Hampson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D-W Investments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Eddie Poplawski</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Egger &amp; Co. FBO Franklin Templeton Investment Funds — Franklin Biotechnology Discovery Fund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Epstein Family Trust dated 4/14/93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Trust Company Custodian FBO Rachael Amber Caska IRA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Eugene KimEumorphic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Evergreen Point Foundation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Fluke Capital Management,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FOUR PINES MASTER FUND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Hare &amp; Co. FBO Franklin Strategic Series — Franklin Biotechnology Discovery Fund c/o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0"/>
          <w:szCs w:val="20"/>
          <w:color w:val="auto"/>
        </w:rPr>
        <w:t>Hayden S. Slater Living Trust dated July 26, 2016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Howard Murad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Hunt Family Living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IRA Resources, Inc. FBO J. Michael Flinn IRA 35-35267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IRA Services Trust Company CFBO Joseph B. Winkler, Sr. IRA #822620 Tax ID 26-2627205</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Irrevocable Trust of OSL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Irrevocable Trust of SWL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Irrevocable Trust of WGL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E. Warjone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Janus Henderson Biotech Innovation Master Fund Limited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Janus Henderson Horizon Fund – Biotechnology Fund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C. Rosling and Jean D. Rosling Revocable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M. Fluke, Jr.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Jonathan E. Fielding Living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Justin Edward Findley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KA-Sabes Investments II,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KA-Sabes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0"/>
          <w:szCs w:val="20"/>
          <w:color w:val="auto"/>
        </w:rPr>
        <w:t>Kayne Family Partnership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Lansing J. Stewart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Leah J. Altmayer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Leon Liebman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LGI,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Lieberthal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Venture Master SPV,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Venture Partners II,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Linden Rhoads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Logos Opportunities Fund II,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Lynne S. Fluke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Magnus A. Altmayer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Magnus S. Altmayer and Andrea Altmayer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F. Worthington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Litton and Alicia Litton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Stegemoeller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Hilton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0"/>
          <w:szCs w:val="20"/>
          <w:color w:val="auto"/>
        </w:rPr>
        <w:t>Michael Nassirian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Mike Flynn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Montgomery Revocable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MontyM3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Morris Holdings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Morris Ventures,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Norm Bontje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Pamela Pearson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Patricia Neuwirth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Paul Keenan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Perceptive Life Sciences Master Fund Ltd.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H. Neuwirth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Potomac Partners Ltd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Primer-Capital I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Richard and Suzanne Kayne Living Trust dtd 01/14/1999</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Richard Karlgaard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Richard Sudek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0"/>
          <w:szCs w:val="20"/>
          <w:color w:val="auto"/>
        </w:rPr>
        <w:t>Robert Anderson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Sinnott 2017 GRAT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ROCK SPRINGS CAPITAL MASTER FUND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RTW Innovation Master Fund, Ltd.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RTW Master Fund,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RTW Venture Fund Limited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Sherman Griffin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Skye Annabel Montgomery 2012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Sofinnova Venture Partners X,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Storybook Partners,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Susskind Family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Tai-Li Chang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TGI Holdings,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Cimler Family Trust dated June 22, 2007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Heath and Carrie Lukatch Revocable Family Trust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James W. Montgomery 2012 Family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Jamie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0"/>
          <w:szCs w:val="20"/>
          <w:color w:val="auto"/>
        </w:rPr>
        <w:t>The KWS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Margaret River Springs QST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Mohn Family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Moise Emquies Trust dated 2/15/2019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 Fund,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Tome Andrade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VENROCK HEALTHCARE CAPITAL PARTNERS III,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VHCP CO-INVESTMENT HOLDINGS III,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VIKING GLOBAL OPPORTUNITIES ILLIQUID INVESTMENTS SUB-MASTER LP</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Washington Research Foundation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Wilbur H. Gantz III Revocable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William D. Savoy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494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243" w:name="page244"/>
    <w:bookmarkEnd w:id="243"/>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SCHEDULE B</w:t>
      </w:r>
    </w:p>
    <w:p>
      <w:pPr>
        <w:spacing w:after="0" w:line="216"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20"/>
          <w:szCs w:val="20"/>
          <w:b w:val="1"/>
          <w:bCs w:val="1"/>
          <w:color w:val="auto"/>
        </w:rPr>
        <w:t>KEY HOLDERS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Hamdan Family GST Trust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W. Wright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Joseph W. Harding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Leen Kawas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PN Biotechnology,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Washington Research Foundation</w:t>
      </w:r>
    </w:p>
    <w:p>
      <w:pPr>
        <w:sectPr>
          <w:pgSz w:w="11900" w:h="16838" w:orient="portrait"/>
          <w:cols w:equalWidth="0" w:num="1">
            <w:col w:w="10139"/>
          </w:cols>
          <w:pgMar w:left="320" w:top="545" w:right="1440" w:bottom="1440" w:gutter="0" w:footer="0" w:header="0"/>
        </w:sectPr>
      </w:pPr>
    </w:p>
    <w:bookmarkStart w:id="244" w:name="page245"/>
    <w:bookmarkEnd w:id="244"/>
    <w:p>
      <w:pPr>
        <w:ind w:left="10240"/>
        <w:spacing w:after="0"/>
        <w:rPr>
          <w:sz w:val="20"/>
          <w:szCs w:val="20"/>
          <w:color w:val="auto"/>
        </w:rPr>
      </w:pPr>
      <w:r>
        <w:rPr>
          <w:rFonts w:ascii="Times New Roman" w:cs="Times New Roman" w:eastAsia="Times New Roman" w:hAnsi="Times New Roman"/>
          <w:sz w:val="21"/>
          <w:szCs w:val="21"/>
          <w:b w:val="1"/>
          <w:bCs w:val="1"/>
          <w:color w:val="auto"/>
        </w:rPr>
        <w:t>Exhibit 4.5</w:t>
      </w:r>
    </w:p>
    <w:p>
      <w:pPr>
        <w:spacing w:after="0" w:line="22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SECURITIES REPRESENTED HERBY HAVE NOT BEEN REGISTERED UNDER THE SECURITIES ACT OF 1933, AS AMENDED (THE “ACT”), OR UNDER THE SECURITIES LAWS OF ANY STATE. THESE SECURITIES ARE SUBJECT TO RESTRICTIONS ON TRANSFERABILITY AND RESALE AND MAY NOT BE TRANSFERRED OR RESOLD EXCEPT AS PERMITTED UNDER THE ACT AND THE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TRANSER OR RESALE IS IN COMPLIANCE WITH THE ACT AND ANY APPLICABLE STATE SECURITIES LAWS OR RECEIPT OF A NO-ACTION LETTER FROM THE SECURITIES AND EXCHANGE COMMISSION.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Purchase Common Stock of</w:t>
      </w:r>
    </w:p>
    <w:p>
      <w:pPr>
        <w:jc w:val="center"/>
        <w:spacing w:after="0"/>
        <w:rPr>
          <w:sz w:val="20"/>
          <w:szCs w:val="20"/>
          <w:color w:val="auto"/>
        </w:rPr>
      </w:pPr>
      <w:r>
        <w:rPr>
          <w:rFonts w:ascii="Times New Roman" w:cs="Times New Roman" w:eastAsia="Times New Roman" w:hAnsi="Times New Roman"/>
          <w:sz w:val="22"/>
          <w:szCs w:val="22"/>
          <w:b w:val="1"/>
          <w:bCs w:val="1"/>
          <w:color w:val="auto"/>
        </w:rPr>
        <w:t>M3 BIOTECHNOLOGY, INC.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Issuance: 08 April 2013</w:t>
      </w:r>
    </w:p>
    <w:p>
      <w:pPr>
        <w:spacing w:after="0" w:line="206" w:lineRule="exact"/>
        <w:rPr>
          <w:sz w:val="20"/>
          <w:szCs w:val="20"/>
          <w:color w:val="auto"/>
        </w:rPr>
      </w:pPr>
    </w:p>
    <w:p>
      <w:pPr>
        <w:jc w:val="both"/>
        <w:ind w:right="20" w:firstLine="832"/>
        <w:spacing w:after="0" w:line="258" w:lineRule="auto"/>
        <w:rPr>
          <w:sz w:val="20"/>
          <w:szCs w:val="20"/>
          <w:color w:val="auto"/>
        </w:rPr>
      </w:pPr>
      <w:r>
        <w:rPr>
          <w:rFonts w:ascii="Times New Roman" w:cs="Times New Roman" w:eastAsia="Times New Roman" w:hAnsi="Times New Roman"/>
          <w:sz w:val="22"/>
          <w:szCs w:val="22"/>
          <w:color w:val="auto"/>
        </w:rPr>
        <w:t>The following is a statement of the rights of the holder of this Warrant and the conditions to which this Warrant is subject, and to which the holder hereof, by the acceptance of this Warrant, agrees:</w:t>
      </w:r>
    </w:p>
    <w:p>
      <w:pPr>
        <w:spacing w:after="0" w:line="158" w:lineRule="exact"/>
        <w:rPr>
          <w:sz w:val="20"/>
          <w:szCs w:val="20"/>
          <w:color w:val="auto"/>
        </w:rPr>
      </w:pPr>
    </w:p>
    <w:p>
      <w:pPr>
        <w:jc w:val="both"/>
        <w:ind w:firstLine="832"/>
        <w:spacing w:after="0" w:line="234" w:lineRule="auto"/>
        <w:rPr>
          <w:sz w:val="20"/>
          <w:szCs w:val="20"/>
          <w:color w:val="auto"/>
        </w:rPr>
      </w:pPr>
      <w:r>
        <w:rPr>
          <w:rFonts w:ascii="Times New Roman" w:cs="Times New Roman" w:eastAsia="Times New Roman" w:hAnsi="Times New Roman"/>
          <w:sz w:val="22"/>
          <w:szCs w:val="22"/>
          <w:color w:val="auto"/>
        </w:rPr>
        <w:t>For value received, M3 BIOTECHNOLOGY, INC., a Washington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the ALZHEIMER’S DRUG DISCOVER FOUNDATION, a public foundation organized in New York (“</w:t>
      </w:r>
      <w:r>
        <w:rPr>
          <w:rFonts w:ascii="Times New Roman" w:cs="Times New Roman" w:eastAsia="Times New Roman" w:hAnsi="Times New Roman"/>
          <w:sz w:val="22"/>
          <w:szCs w:val="22"/>
          <w:u w:val="single" w:color="auto"/>
          <w:color w:val="auto"/>
        </w:rPr>
        <w:t>ADDF</w:t>
      </w:r>
      <w:r>
        <w:rPr>
          <w:rFonts w:ascii="Times New Roman" w:cs="Times New Roman" w:eastAsia="Times New Roman" w:hAnsi="Times New Roman"/>
          <w:sz w:val="22"/>
          <w:szCs w:val="22"/>
          <w:color w:val="auto"/>
        </w:rPr>
        <w:t>”), and its registered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the right to purchase from the Company at the Exercise Price of the lesser of $1 per share or the first price per share of the Company’s stock negotiated in an arms-length transaction with a bona-fide third party totaling at least $250,000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a number of shares (the “</w:t>
      </w:r>
      <w:r>
        <w:rPr>
          <w:rFonts w:ascii="Times New Roman" w:cs="Times New Roman" w:eastAsia="Times New Roman" w:hAnsi="Times New Roman"/>
          <w:sz w:val="22"/>
          <w:szCs w:val="22"/>
          <w:u w:val="single" w:color="auto"/>
          <w:color w:val="auto"/>
        </w:rPr>
        <w:t>Issuable Shares</w:t>
      </w:r>
      <w:r>
        <w:rPr>
          <w:rFonts w:ascii="Times New Roman" w:cs="Times New Roman" w:eastAsia="Times New Roman" w:hAnsi="Times New Roman"/>
          <w:sz w:val="22"/>
          <w:szCs w:val="22"/>
          <w:color w:val="auto"/>
        </w:rPr>
        <w:t>”) of common stock of the Company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equal to the number of shares of Common Stock which, when multiplied by the Exercise Price, equals the first tranche of the principal amount of the Convertible Promissory Note signed in conjunction with this Warrant $87,497 multiplied by 0.30. Such Exercise Price is referred to herein as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This Warrant may be exercised at any time prior to the eight (8)-year anniversary of its issuance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832"/>
        <w:spacing w:after="0" w:line="258" w:lineRule="auto"/>
        <w:rPr>
          <w:sz w:val="20"/>
          <w:szCs w:val="20"/>
          <w:color w:val="auto"/>
        </w:rPr>
      </w:pPr>
      <w:r>
        <w:rPr>
          <w:rFonts w:ascii="Times New Roman" w:cs="Times New Roman" w:eastAsia="Times New Roman" w:hAnsi="Times New Roman"/>
          <w:sz w:val="22"/>
          <w:szCs w:val="22"/>
          <w:color w:val="auto"/>
        </w:rPr>
        <w:t>This Warrant is issued under the terms of that certain Agreement to Accept Conditions for Biotechnology Funding, dated 08 April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94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45" w:name="page246"/>
    <w:bookmarkEnd w:id="245"/>
    <w:p>
      <w:pPr>
        <w:ind w:left="1660" w:hanging="820"/>
        <w:spacing w:after="0"/>
        <w:tabs>
          <w:tab w:leader="none" w:pos="16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Not Registered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32"/>
        <w:spacing w:after="0" w:line="249" w:lineRule="auto"/>
        <w:rPr>
          <w:sz w:val="20"/>
          <w:szCs w:val="20"/>
          <w:color w:val="auto"/>
        </w:rPr>
      </w:pPr>
      <w:r>
        <w:rPr>
          <w:rFonts w:ascii="Times New Roman" w:cs="Times New Roman" w:eastAsia="Times New Roman" w:hAnsi="Times New Roman"/>
          <w:sz w:val="21"/>
          <w:szCs w:val="21"/>
          <w:color w:val="auto"/>
        </w:rPr>
        <w:t>The Holder of this Warrant acknowledges that neither this Warrant nor the Issuable Shares have been registered under the Act, and agrees not to sell, pledge, distribute, offer for sale, transfer or otherwise dispose of this Warrant or any Issuable Shares in the absence of (i) an effective registration statement under the Act as to this Warrant or such Issuable Shares and registration or qualification of this Warrant or such Issuable Shares under any applicable U.S. federal or state securities law then in effect or (ii) an opinion of counsel, satisfactory to the Company, that such registration and qualification are not required. Each certificate or other instrument evidencing the issuable Shares shall bear a legend substantially to the foregoing effect.</w:t>
      </w:r>
    </w:p>
    <w:p>
      <w:pPr>
        <w:spacing w:after="0" w:line="171" w:lineRule="exact"/>
        <w:rPr>
          <w:sz w:val="20"/>
          <w:szCs w:val="20"/>
          <w:color w:val="auto"/>
        </w:rPr>
      </w:pPr>
    </w:p>
    <w:p>
      <w:pPr>
        <w:ind w:left="1660" w:hanging="820"/>
        <w:spacing w:after="0"/>
        <w:tabs>
          <w:tab w:leader="none" w:pos="1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Warrant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32"/>
        <w:spacing w:after="0"/>
        <w:rPr>
          <w:sz w:val="20"/>
          <w:szCs w:val="20"/>
          <w:color w:val="auto"/>
        </w:rPr>
      </w:pPr>
      <w:r>
        <w:rPr>
          <w:rFonts w:ascii="Times New Roman" w:cs="Times New Roman" w:eastAsia="Times New Roman" w:hAnsi="Times New Roman"/>
          <w:sz w:val="22"/>
          <w:szCs w:val="22"/>
          <w:color w:val="auto"/>
        </w:rPr>
        <w:t>2.1 (a) The Warrant may be exercised at any time prior to the Expiration Date upon (i) surrender to the Company at the main office of the Company (or such other office or agency of the Company as it may be designate in writing to the Holder at the address of the Holder appearing on the books of the Company) of the warrant certificates, together with the Notice of Exercise annexed hereto properly completed and executed by the Holder and (ii) payment to the Company of the Exercise Price for each Share or other securities issuable upon exercise of such Warrant. The Exercise Price may be paid (i) in cash or by certified or official bank check or by wire transfer to an account designated by the Company for such purpose (a “</w:t>
      </w:r>
      <w:r>
        <w:rPr>
          <w:rFonts w:ascii="Times New Roman" w:cs="Times New Roman" w:eastAsia="Times New Roman" w:hAnsi="Times New Roman"/>
          <w:sz w:val="22"/>
          <w:szCs w:val="22"/>
          <w:u w:val="single" w:color="auto"/>
          <w:color w:val="auto"/>
        </w:rPr>
        <w:t>Cash Exercise</w:t>
      </w:r>
      <w:r>
        <w:rPr>
          <w:rFonts w:ascii="Times New Roman" w:cs="Times New Roman" w:eastAsia="Times New Roman" w:hAnsi="Times New Roman"/>
          <w:sz w:val="22"/>
          <w:szCs w:val="22"/>
          <w:color w:val="auto"/>
        </w:rPr>
        <w:t>”) or (ii) without the payment of cash, by reducing the number of Issuable Shares that would be obtainable upon the exercise of the Warrant and payment of the Exercise Price in cash so as to yield a number of Issuable Shares upon the exercise of such Warrant equal to the product of (x) the number of Issuable Shares for which such Warrant is exercisable as of the date of exercise (if the Exercise Price were being paid in cash) and (y) the Cashless Exercise Ratio (as defined below). An exercise of the Warrant in accordance with clause (ii) of the immediately preceding sentence is herein called a “</w:t>
      </w: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w:t>
      </w:r>
    </w:p>
    <w:p>
      <w:pPr>
        <w:spacing w:after="0" w:line="349" w:lineRule="exact"/>
        <w:rPr>
          <w:sz w:val="20"/>
          <w:szCs w:val="20"/>
          <w:color w:val="auto"/>
        </w:rPr>
      </w:pPr>
    </w:p>
    <w:p>
      <w:pPr>
        <w:jc w:val="both"/>
        <w:ind w:firstLine="1663"/>
        <w:spacing w:after="0" w:line="232" w:lineRule="auto"/>
        <w:rPr>
          <w:sz w:val="20"/>
          <w:szCs w:val="20"/>
          <w:color w:val="auto"/>
        </w:rPr>
      </w:pPr>
      <w:r>
        <w:rPr>
          <w:rFonts w:ascii="Times New Roman" w:cs="Times New Roman" w:eastAsia="Times New Roman" w:hAnsi="Times New Roman"/>
          <w:sz w:val="22"/>
          <w:szCs w:val="22"/>
          <w:color w:val="auto"/>
        </w:rPr>
        <w:t>(b) In the event of a Cashless Exercise of the Warrant, the Company will purchase from the Holder such portion of the Warrant as would have entitled the Holder to receive the excess of the number of Common Stock deliverable upon a Cash Exercise over the number of Common Stock deliverable upon Cashless Exercise, for a Exercise Price equal to the Exercise Price multiplied by the excess of the number of Common Stock purchasable upon a Cash Exercise. The Company agrees to and shall offset the Exercise Price referred to in the immediately preceding sentence with the obligation to pay the Exercise Price in respect of the Common Stock deliverable upon a Cashless Exercise. Upon surrender of the warrant certificate in connection with the Holder’s option to elect a Cashless Exercise, the number of Common Stock deliverable upon a Cashless Exercise shall be equal to the number of Common Stock issuable upon the exercise of Warrant that the Holder specifies are to be exercised pursuant to a Cashless Exercise multiplied by the Cashless Exercise Ratio. All provisions of this Warrant shall be applicable with respect to the surrender of a warrant certificate pursuant to a Cashless Exercise for less than the full number of Warrants represented thereby. Upon surrender of the warrant certificate and payment of the Exercise Price in accordance with this Warrant, the Company will issue Common Stock of the Company for the portion of the Warrant exercised, subject to adjustment as described herein. Whenever there occurs a Cashless Exercise, the Company shall deliver to the Holder a certificate setting forth the Cashless Exercise Ratio.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494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6" w:name="page247"/>
    <w:bookmarkEnd w:id="246"/>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(c) “</w:t>
      </w:r>
      <w:r>
        <w:rPr>
          <w:rFonts w:ascii="Times New Roman" w:cs="Times New Roman" w:eastAsia="Times New Roman" w:hAnsi="Times New Roman"/>
          <w:sz w:val="22"/>
          <w:szCs w:val="22"/>
          <w:u w:val="single" w:color="auto"/>
          <w:color w:val="auto"/>
        </w:rPr>
        <w:t>Cashless Exercise Ratio</w:t>
      </w:r>
      <w:r>
        <w:rPr>
          <w:rFonts w:ascii="Times New Roman" w:cs="Times New Roman" w:eastAsia="Times New Roman" w:hAnsi="Times New Roman"/>
          <w:sz w:val="22"/>
          <w:szCs w:val="22"/>
          <w:color w:val="auto"/>
        </w:rPr>
        <w:t>” means a fraction, the numerator of which is the amount by which the Current Market Value (as defined below) per Share on the exercise date of the Warrant exceeds the Exercise Price per Share as of such exercise date and the denominator of which is the Current Market Value per Share on the exercise date.</w:t>
      </w:r>
    </w:p>
    <w:p>
      <w:pPr>
        <w:spacing w:after="0" w:line="150" w:lineRule="exact"/>
        <w:rPr>
          <w:sz w:val="20"/>
          <w:szCs w:val="20"/>
          <w:color w:val="auto"/>
        </w:rPr>
      </w:pPr>
    </w:p>
    <w:tbl>
      <w:tblPr>
        <w:tblLayout w:type="fixed"/>
        <w:tblInd w:w="1680" w:type="dxa"/>
        <w:tblCellMar>
          <w:top w:w="0" w:type="dxa"/>
          <w:left w:w="0" w:type="dxa"/>
          <w:bottom w:w="0" w:type="dxa"/>
          <w:right w:w="0" w:type="dxa"/>
        </w:tblCellMar>
      </w:tblP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788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“Current Market Value” per Share means:</w:t>
            </w:r>
          </w:p>
        </w:tc>
      </w:tr>
      <w:tr>
        <w:trPr>
          <w:trHeight w:val="20"/>
        </w:trPr>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76"/>
        </w:trPr>
        <w:tc>
          <w:tcPr>
            <w:tcW w:w="16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(i)</w:t>
            </w:r>
          </w:p>
        </w:tc>
        <w:tc>
          <w:tcPr>
            <w:tcW w:w="760" w:type="dxa"/>
            <w:vAlign w:val="bottom"/>
          </w:tcPr>
          <w:p>
            <w:pPr>
              <w:spacing w:after="0"/>
              <w:rPr>
                <w:sz w:val="24"/>
                <w:szCs w:val="24"/>
                <w:color w:val="auto"/>
              </w:rPr>
            </w:pPr>
          </w:p>
        </w:tc>
        <w:tc>
          <w:tcPr>
            <w:tcW w:w="7120" w:type="dxa"/>
            <w:vAlign w:val="bottom"/>
            <w:gridSpan w:val="2"/>
          </w:tcPr>
          <w:p>
            <w:pPr>
              <w:ind w:left="1180"/>
              <w:spacing w:after="0"/>
              <w:rPr>
                <w:sz w:val="20"/>
                <w:szCs w:val="20"/>
                <w:color w:val="auto"/>
              </w:rPr>
            </w:pPr>
            <w:r>
              <w:rPr>
                <w:rFonts w:ascii="Times New Roman" w:cs="Times New Roman" w:eastAsia="Times New Roman" w:hAnsi="Times New Roman"/>
                <w:sz w:val="22"/>
                <w:szCs w:val="22"/>
                <w:color w:val="auto"/>
              </w:rPr>
              <w:t>if the Common Stock are not registered under the Securities</w:t>
            </w:r>
          </w:p>
        </w:tc>
      </w:tr>
    </w:tbl>
    <w:p>
      <w:pPr>
        <w:jc w:val="both"/>
        <w:spacing w:after="0" w:line="232" w:lineRule="auto"/>
        <w:rPr>
          <w:sz w:val="20"/>
          <w:szCs w:val="20"/>
          <w:color w:val="auto"/>
        </w:rPr>
      </w:pPr>
      <w:r>
        <w:rPr>
          <w:rFonts w:ascii="Times New Roman" w:cs="Times New Roman" w:eastAsia="Times New Roman" w:hAnsi="Times New Roman"/>
          <w:sz w:val="22"/>
          <w:szCs w:val="22"/>
          <w:color w:val="auto"/>
        </w:rPr>
        <w:t>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fair market value of the Common Stock (without any discount for lack of liquidity, the amount of such Common Stock offered to be purchased or the fact that the Common Stock may represent a minority interest in a private company or a company under the control of another person) as determined in good faith by the Board of Directors of the Company and certified in a board resolution that is delivered to the Holder, and, if requested by the Holder, determined to be fair, from a financial point of view, to the Holder, by an independent financial expert (as set forth in such independent financial expert’s written fairness opinion); or</w:t>
      </w:r>
    </w:p>
    <w:p>
      <w:pPr>
        <w:spacing w:after="0" w:line="183" w:lineRule="exact"/>
        <w:rPr>
          <w:sz w:val="20"/>
          <w:szCs w:val="20"/>
          <w:color w:val="auto"/>
        </w:rPr>
      </w:pPr>
    </w:p>
    <w:p>
      <w:pPr>
        <w:jc w:val="both"/>
        <w:ind w:firstLine="2496"/>
        <w:spacing w:after="0"/>
        <w:rPr>
          <w:sz w:val="20"/>
          <w:szCs w:val="20"/>
          <w:color w:val="auto"/>
        </w:rPr>
      </w:pPr>
      <w:r>
        <w:rPr>
          <w:rFonts w:ascii="Times New Roman" w:cs="Times New Roman" w:eastAsia="Times New Roman" w:hAnsi="Times New Roman"/>
          <w:sz w:val="22"/>
          <w:szCs w:val="22"/>
          <w:color w:val="auto"/>
        </w:rPr>
        <w:t>(ii) if the Common Stock are registered under the Exchange Act, the average of the last reported sale price of the security (or the equivalent in an over-the-counter market) for each business day during the period commencing 15 business days before such date and ending on the date one day prior to such date, or if the Common Stock have been registered under the Exchange Act for less than 15 consecutive business days before such date, the average of the daily closing bid prices (or such equivalent) for all of the business days before such date for which daily closing bid prices are available (provided, however, that if the closing bid price is not determinable for at least 10 business days in such period, the “Current Market Value” of the security shall be determined as if the security were not registered under the Exchange Act). The Company shall pay the fees and expenses of any independent financial expert in the determination of Current Market Value.</w:t>
      </w:r>
    </w:p>
    <w:p>
      <w:pPr>
        <w:spacing w:after="0" w:line="379"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2"/>
          <w:szCs w:val="22"/>
          <w:color w:val="auto"/>
        </w:rPr>
        <w:t>2.2 Certificates or other documentation evidencing the Issuable Shares purchased hereunder shall be delivered to the Holder within a reasonable period of time after the later of (i) the date on which this Warrant is exercised, or (ii) the date on which the Exercise Price is full paid, but in no event shall they be delivered later than 15 days following such date.</w:t>
      </w:r>
    </w:p>
    <w:p>
      <w:pPr>
        <w:spacing w:after="0" w:line="173" w:lineRule="exact"/>
        <w:rPr>
          <w:sz w:val="20"/>
          <w:szCs w:val="20"/>
          <w:color w:val="auto"/>
        </w:rPr>
      </w:pPr>
    </w:p>
    <w:p>
      <w:pPr>
        <w:jc w:val="both"/>
        <w:ind w:firstLine="832"/>
        <w:spacing w:after="0" w:line="239" w:lineRule="auto"/>
        <w:rPr>
          <w:sz w:val="20"/>
          <w:szCs w:val="20"/>
          <w:color w:val="auto"/>
        </w:rPr>
      </w:pPr>
      <w:r>
        <w:rPr>
          <w:rFonts w:ascii="Times New Roman" w:cs="Times New Roman" w:eastAsia="Times New Roman" w:hAnsi="Times New Roman"/>
          <w:sz w:val="22"/>
          <w:szCs w:val="22"/>
          <w:color w:val="auto"/>
        </w:rPr>
        <w:t>2.3 The Company covenants and agrees that all Issuable Shares which may be issued upon the exercise of this Warrant will be duly authorized, validly issued, fully paid and nonassessable and free from all taxes, liens, encumbrances, and charges in respect of the issue thereof (other than taxes in respect of any transfer occurring contemporaneously with such issue).</w:t>
      </w:r>
    </w:p>
    <w:p>
      <w:pPr>
        <w:spacing w:after="0" w:line="180" w:lineRule="exact"/>
        <w:rPr>
          <w:sz w:val="20"/>
          <w:szCs w:val="20"/>
          <w:color w:val="auto"/>
        </w:rPr>
      </w:pPr>
    </w:p>
    <w:p>
      <w:pPr>
        <w:jc w:val="both"/>
        <w:ind w:firstLine="832"/>
        <w:spacing w:after="0" w:line="233" w:lineRule="auto"/>
        <w:rPr>
          <w:sz w:val="20"/>
          <w:szCs w:val="20"/>
          <w:color w:val="auto"/>
        </w:rPr>
      </w:pPr>
      <w:r>
        <w:rPr>
          <w:rFonts w:ascii="Times New Roman" w:cs="Times New Roman" w:eastAsia="Times New Roman" w:hAnsi="Times New Roman"/>
          <w:sz w:val="22"/>
          <w:szCs w:val="22"/>
          <w:color w:val="auto"/>
        </w:rPr>
        <w:t>2.4 The Company further covenants and agrees that, during the period within which the rights evidenced by this Warrant may be exercised, the Company will at all times during such period have authorized and reserved, for the purpose of issue or transfer upon exercise of the rights evidenced by this Warrant, a sufficient number of authorized by unissued Common Stock, or other securities and property, when and as required to provide for the exercise of the rights evidenced by this Warrant. The Company will take all such action as may be necessary to assure that such Common Stock may be issued as provided herein without violation of any applicable law or regulation, or of any requirements of any securities exchange upon which the securities of the Company may be listed; provided, however, that the Company shall not be required to effect a registration under federal or state securities laws with respect to such exercise.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494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7" w:name="page248"/>
    <w:bookmarkEnd w:id="247"/>
    <w:p>
      <w:pPr>
        <w:ind w:left="1660" w:hanging="820"/>
        <w:spacing w:after="0"/>
        <w:tabs>
          <w:tab w:leader="none" w:pos="1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Exercise Price</w:t>
      </w:r>
      <w:r>
        <w:rPr>
          <w:rFonts w:ascii="Times New Roman" w:cs="Times New Roman" w:eastAsia="Times New Roman" w:hAnsi="Times New Roman"/>
          <w:sz w:val="22"/>
          <w:szCs w:val="22"/>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3.1</w:t>
            </w:r>
          </w:p>
        </w:tc>
        <w:tc>
          <w:tcPr>
            <w:tcW w:w="94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The Exercise Price and the number of Issuable Shares are subject to adjustment in accordance with</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this Section 3 from time to time upon the occurrence of certain events described in this Section 3.</w:t>
            </w:r>
          </w:p>
        </w:tc>
      </w:tr>
      <w:tr>
        <w:trPr>
          <w:trHeight w:val="444"/>
        </w:trPr>
        <w:tc>
          <w:tcPr>
            <w:tcW w:w="17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3.2</w:t>
            </w:r>
          </w:p>
        </w:tc>
        <w:tc>
          <w:tcPr>
            <w:tcW w:w="94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In the event the Company shall, at any time or from time to time after the date hereof, issue any</w:t>
            </w:r>
          </w:p>
        </w:tc>
      </w:tr>
    </w:tbl>
    <w:p>
      <w:pPr>
        <w:jc w:val="both"/>
        <w:spacing w:after="0" w:line="232" w:lineRule="auto"/>
        <w:rPr>
          <w:sz w:val="20"/>
          <w:szCs w:val="20"/>
          <w:color w:val="auto"/>
        </w:rPr>
      </w:pPr>
      <w:r>
        <w:rPr>
          <w:rFonts w:ascii="Times New Roman" w:cs="Times New Roman" w:eastAsia="Times New Roman" w:hAnsi="Times New Roman"/>
          <w:sz w:val="22"/>
          <w:szCs w:val="22"/>
          <w:color w:val="auto"/>
        </w:rPr>
        <w:t>Common Stock as a stock dividend to the holders of Common Stock, or subdivide or combine the outstanding Common Stock into a greater or lesser number of shares, or effectuate a similar sale, issuance, subdivision or combination in which no consideration is payable by the holders of Common Stock (any such sale, issuance, subdivision or combination being herein called a “</w:t>
      </w:r>
      <w:r>
        <w:rPr>
          <w:rFonts w:ascii="Times New Roman" w:cs="Times New Roman" w:eastAsia="Times New Roman" w:hAnsi="Times New Roman"/>
          <w:sz w:val="22"/>
          <w:szCs w:val="22"/>
          <w:u w:val="single" w:color="auto"/>
          <w:color w:val="auto"/>
        </w:rPr>
        <w:t>Share Change</w:t>
      </w:r>
      <w:r>
        <w:rPr>
          <w:rFonts w:ascii="Times New Roman" w:cs="Times New Roman" w:eastAsia="Times New Roman" w:hAnsi="Times New Roman"/>
          <w:sz w:val="22"/>
          <w:szCs w:val="22"/>
          <w:color w:val="auto"/>
        </w:rPr>
        <w:t>”), then, and thereafter upon each further Share Change, the Exercise Price shall be adjusted in inverse proportion to the fraction determined by dividing the number of shares of Stock outstanding after such event (on a fully diluted basis) by the number of shares of Common Stock outstanding be fore such event (on a fully diluted basis) (the “</w:t>
      </w:r>
      <w:r>
        <w:rPr>
          <w:rFonts w:ascii="Times New Roman" w:cs="Times New Roman" w:eastAsia="Times New Roman" w:hAnsi="Times New Roman"/>
          <w:sz w:val="22"/>
          <w:szCs w:val="22"/>
          <w:u w:val="single" w:color="auto"/>
          <w:color w:val="auto"/>
        </w:rPr>
        <w:t>Adjustment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Ratio</w:t>
      </w:r>
      <w:r>
        <w:rPr>
          <w:rFonts w:ascii="Times New Roman" w:cs="Times New Roman" w:eastAsia="Times New Roman" w:hAnsi="Times New Roman"/>
          <w:sz w:val="22"/>
          <w:szCs w:val="22"/>
          <w:color w:val="auto"/>
        </w:rPr>
        <w:t>”) and the number of Issuable Shares shall be adjusted in direct proportion to the Adjustment Ratio.</w:t>
      </w:r>
    </w:p>
    <w:p>
      <w:pPr>
        <w:spacing w:after="0" w:line="181" w:lineRule="exact"/>
        <w:rPr>
          <w:sz w:val="20"/>
          <w:szCs w:val="20"/>
          <w:color w:val="auto"/>
        </w:rPr>
      </w:pPr>
    </w:p>
    <w:p>
      <w:pPr>
        <w:jc w:val="both"/>
        <w:ind w:firstLine="832"/>
        <w:spacing w:after="0" w:line="235" w:lineRule="auto"/>
        <w:rPr>
          <w:sz w:val="20"/>
          <w:szCs w:val="20"/>
          <w:color w:val="auto"/>
        </w:rPr>
      </w:pPr>
      <w:r>
        <w:rPr>
          <w:rFonts w:ascii="Times New Roman" w:cs="Times New Roman" w:eastAsia="Times New Roman" w:hAnsi="Times New Roman"/>
          <w:sz w:val="22"/>
          <w:szCs w:val="22"/>
          <w:color w:val="auto"/>
        </w:rPr>
        <w:t>3.3 If the Company shall at any time issue or sell any Common Stock or equity securities convertible into or exchangeable for Common Stock (“</w:t>
      </w:r>
      <w:r>
        <w:rPr>
          <w:rFonts w:ascii="Times New Roman" w:cs="Times New Roman" w:eastAsia="Times New Roman" w:hAnsi="Times New Roman"/>
          <w:sz w:val="22"/>
          <w:szCs w:val="22"/>
          <w:u w:val="single" w:color="auto"/>
          <w:color w:val="auto"/>
        </w:rPr>
        <w:t>Share Equivalents</w:t>
      </w:r>
      <w:r>
        <w:rPr>
          <w:rFonts w:ascii="Times New Roman" w:cs="Times New Roman" w:eastAsia="Times New Roman" w:hAnsi="Times New Roman"/>
          <w:sz w:val="22"/>
          <w:szCs w:val="22"/>
          <w:color w:val="auto"/>
        </w:rPr>
        <w:t>”) where the then effective price per Share of stock (consisting of the amount per Share paid upon issuance of the securities plus, if applicable, any amount per Share payable upon conversion or exchange) (the “</w:t>
      </w:r>
      <w:r>
        <w:rPr>
          <w:rFonts w:ascii="Times New Roman" w:cs="Times New Roman" w:eastAsia="Times New Roman" w:hAnsi="Times New Roman"/>
          <w:sz w:val="22"/>
          <w:szCs w:val="22"/>
          <w:u w:val="single" w:color="auto"/>
          <w:color w:val="auto"/>
        </w:rPr>
        <w:t>Effective Share Price</w:t>
      </w:r>
      <w:r>
        <w:rPr>
          <w:rFonts w:ascii="Times New Roman" w:cs="Times New Roman" w:eastAsia="Times New Roman" w:hAnsi="Times New Roman"/>
          <w:sz w:val="22"/>
          <w:szCs w:val="22"/>
          <w:color w:val="auto"/>
        </w:rPr>
        <w:t>”) is less than the then-effective Exercise Price, or if the terms of any then existing securities provide for, or are amended to effect, a reduction in the Effective Share Price to a price less than the then effective Exercise Price, then the then effective Exercise Price shall concurrently with such issuance, sale or amendment be reduced to the Effective Share Price.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3.4</w:t>
            </w:r>
          </w:p>
        </w:tc>
        <w:tc>
          <w:tcPr>
            <w:tcW w:w="94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For purposes of this Section 3, the number of Common Stock and Share Equivalents outstanding at</w:t>
            </w:r>
          </w:p>
        </w:tc>
      </w:tr>
      <w:tr>
        <w:trPr>
          <w:trHeight w:val="282"/>
        </w:trPr>
        <w:tc>
          <w:tcPr>
            <w:tcW w:w="11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any given time shall include Common Stock and Share Equivalents owned or held by or for the account of the Company.</w:t>
            </w:r>
          </w:p>
        </w:tc>
      </w:tr>
      <w:tr>
        <w:trPr>
          <w:trHeight w:val="444"/>
        </w:trPr>
        <w:tc>
          <w:tcPr>
            <w:tcW w:w="17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3.5</w:t>
            </w:r>
          </w:p>
        </w:tc>
        <w:tc>
          <w:tcPr>
            <w:tcW w:w="15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w:t>
            </w:r>
          </w:p>
        </w:tc>
        <w:tc>
          <w:tcPr>
            <w:tcW w:w="79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If the Company shall be party to a Sale or Merger or an IPO (as defined below), or</w:t>
            </w:r>
          </w:p>
        </w:tc>
      </w:tr>
    </w:tbl>
    <w:p>
      <w:pPr>
        <w:jc w:val="both"/>
        <w:spacing w:after="0" w:line="232" w:lineRule="auto"/>
        <w:rPr>
          <w:sz w:val="20"/>
          <w:szCs w:val="20"/>
          <w:color w:val="auto"/>
        </w:rPr>
      </w:pPr>
      <w:r>
        <w:rPr>
          <w:rFonts w:ascii="Times New Roman" w:cs="Times New Roman" w:eastAsia="Times New Roman" w:hAnsi="Times New Roman"/>
          <w:sz w:val="22"/>
          <w:szCs w:val="22"/>
          <w:color w:val="auto"/>
        </w:rPr>
        <w:t>engage in any similar transaction, the, in each case, in lieu of the Common Stock issuable upon the exercise of the Warrant immediately prior to such transaction, upon the consummation of such transaction at the option of the Holder, either (A) the Warrant shall terminate, or (B) the Holder shall receive the stock and/or other securities and/or property (including cash) to which the Holder would have been entitled (less the then effective Exercise Price) upon such Sale or Merger or similar transaction had the Holder exercised the Warrant fully immediately prior thereto, all subject to the adjustments provided herein or substantially similar adjustments.</w:t>
      </w:r>
    </w:p>
    <w:p>
      <w:pPr>
        <w:spacing w:after="0" w:line="183" w:lineRule="exact"/>
        <w:rPr>
          <w:sz w:val="20"/>
          <w:szCs w:val="20"/>
          <w:color w:val="auto"/>
        </w:rPr>
      </w:pPr>
    </w:p>
    <w:p>
      <w:pPr>
        <w:jc w:val="both"/>
        <w:ind w:firstLine="1663"/>
        <w:spacing w:after="0" w:line="236" w:lineRule="auto"/>
        <w:rPr>
          <w:sz w:val="20"/>
          <w:szCs w:val="20"/>
          <w:color w:val="auto"/>
        </w:rPr>
      </w:pPr>
      <w:r>
        <w:rPr>
          <w:rFonts w:ascii="Times New Roman" w:cs="Times New Roman" w:eastAsia="Times New Roman" w:hAnsi="Times New Roman"/>
          <w:sz w:val="22"/>
          <w:szCs w:val="22"/>
          <w:color w:val="auto"/>
        </w:rPr>
        <w:t>(b) A “Sale or Merger” shall mean any of the following: (i) the merger or consolidation of the Company into or with another entity in which the holders of the voting equity of the Company immediately preceding such merger or consolidation shall own less than fifty percent (50%) of the voting securities of the surviving entity; (ii) the sale, transfer or lease, whether in a single transaction or pursuant to a series of related transactions or plan, of all or substantially all the assets of the Company which assets shall include for these purposes fifty percent (50%) or more of the</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4946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8" w:name="page249"/>
    <w:bookmarkEnd w:id="248"/>
    <w:p>
      <w:pPr>
        <w:jc w:val="both"/>
        <w:spacing w:after="0" w:line="236" w:lineRule="auto"/>
        <w:rPr>
          <w:sz w:val="20"/>
          <w:szCs w:val="20"/>
          <w:color w:val="auto"/>
        </w:rPr>
      </w:pPr>
      <w:r>
        <w:rPr>
          <w:rFonts w:ascii="Times New Roman" w:cs="Times New Roman" w:eastAsia="Times New Roman" w:hAnsi="Times New Roman"/>
          <w:sz w:val="22"/>
          <w:szCs w:val="22"/>
          <w:color w:val="auto"/>
        </w:rPr>
        <w:t>outstanding voting equity securities of any subsidiaries of the Company, the assets of which constitute all or substantially all the assets of the Company and its subsidiaries taken as a whole; (iii) the sale, transfer, or lease, whether in a single transaction or pursuant to a series of related transactions, of all or substantially all the assets of the subsidiaries of the Company, the assets of which constitute all or substantially all of the assets of the Company and such subsidiaries taken as a whole, (iv) a sale or transfer, whether in a single transaction or series of related transactions, of fifty percent (50%) or more of the Company’s outstanding voting securities other than in a financing transaction or (v) a public offering of the securities of the Company.</w:t>
      </w:r>
    </w:p>
    <w:p>
      <w:pPr>
        <w:spacing w:after="0" w:line="181" w:lineRule="exact"/>
        <w:rPr>
          <w:sz w:val="20"/>
          <w:szCs w:val="20"/>
          <w:color w:val="auto"/>
        </w:rPr>
      </w:pPr>
    </w:p>
    <w:p>
      <w:pPr>
        <w:jc w:val="both"/>
        <w:ind w:firstLine="832"/>
        <w:spacing w:after="0" w:line="235" w:lineRule="auto"/>
        <w:rPr>
          <w:sz w:val="20"/>
          <w:szCs w:val="20"/>
          <w:color w:val="auto"/>
        </w:rPr>
      </w:pPr>
      <w:r>
        <w:rPr>
          <w:rFonts w:ascii="Times New Roman" w:cs="Times New Roman" w:eastAsia="Times New Roman" w:hAnsi="Times New Roman"/>
          <w:sz w:val="22"/>
          <w:szCs w:val="22"/>
          <w:color w:val="auto"/>
        </w:rPr>
        <w:t>3.6 In the event the Company at any time or from time to time makes, or fixes a record date for the determination of holders of Common Stock entitled to receive, any distribution payable in securities or assets of the Company other than Common Stock and other than as otherwise adjusted for in this Section 3, then and in each such event provision shall be made so that the Holder shall receive upon exercise of the Warrant, in addition to the number of Common Stock receivable thereupon, the amount of securities or assets of the Company which the Holder would have received had the Warrant been converted into Common Stock on the date of such event and had it thereafter, during the period from the date of such event to and including the date of conversion, retained such securities receivable by it as aforesaid during such period, subject to all other adjustments called for during such period under this Section 3.</w:t>
      </w:r>
    </w:p>
    <w:p>
      <w:pPr>
        <w:spacing w:after="0" w:line="178" w:lineRule="exact"/>
        <w:rPr>
          <w:sz w:val="20"/>
          <w:szCs w:val="20"/>
          <w:color w:val="auto"/>
        </w:rPr>
      </w:pPr>
    </w:p>
    <w:p>
      <w:pPr>
        <w:jc w:val="both"/>
        <w:ind w:firstLine="832"/>
        <w:spacing w:after="0" w:line="231" w:lineRule="auto"/>
        <w:rPr>
          <w:sz w:val="20"/>
          <w:szCs w:val="20"/>
          <w:color w:val="auto"/>
        </w:rPr>
      </w:pPr>
      <w:r>
        <w:rPr>
          <w:rFonts w:ascii="Times New Roman" w:cs="Times New Roman" w:eastAsia="Times New Roman" w:hAnsi="Times New Roman"/>
          <w:sz w:val="22"/>
          <w:szCs w:val="22"/>
          <w:color w:val="auto"/>
        </w:rPr>
        <w:t>3.7 The Company shall notify the Holder in writing at least twenty (20) days’ prior to the occurrence of any event requiring any adjustment as provided herein, which notice shall set forth in reasonable detail such event, the amount of the adjustment and method of calculation thereof. At any time and from time to time if any reorganization, reclassification, recapitalization, stock dividend, stock split, stock combination, transfer or lease of substantially all assets, issuance or sale of securities or other event shall occur as to which the provisions of this Section 3 are not strictly applicable, but the failure to make any adjustment would not fairly protect the rights of the Holder in accordance with the essential intent and principles hereof, then, in each such case, the number of Issuable Shares and the Exercise Price shall be appropriately adjusted to preserve, without dilution, the purchase rights represented by this Warrant and to place the Holder in an equivalent economic position as it would have been in had such events not occurred. If at any time, the Company issues, or otherwise provides for or grants, rights to acquire Common Stock or securities convertible into or exchangeable for Common Stock that provide for greater or more favorable antidilution protection than the antidilution protection provided for herein (including, but not limited to, rights with respect to the events that trigger the adjustment or the formula pursuant to which any such adjustment is made), the Company shall notify the Holder of such issuance, provision or grant within ten business days of such event and this Warrant shall be deemed automatically amended as of the date of the issuance, provision or grant of such rights or convertible securities or protections, as the case may be, so that the Holder shall receive the benefit of such greater antidilution protection. 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in this Section 3 and in the taking of all such action as may be necessary or appropriate in order to protect the rights of the holders of the Warrant against impairment.]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494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9" w:name="page250"/>
    <w:bookmarkEnd w:id="249"/>
    <w:p>
      <w:pPr>
        <w:ind w:left="1660" w:hanging="820"/>
        <w:spacing w:after="0"/>
        <w:tabs>
          <w:tab w:leader="none" w:pos="1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Common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2"/>
          <w:szCs w:val="22"/>
          <w:color w:val="auto"/>
        </w:rPr>
        <w:t>The Company shall not be required to issue any fractional shares in connection with any exercise of this Warrant. The Company may pay to the Holder, in lieu of issuing any fractional share, a sum in cash equal to such fraction multiplied by the then effective Exercise Price.</w:t>
      </w:r>
    </w:p>
    <w:p>
      <w:pPr>
        <w:spacing w:after="0" w:line="173" w:lineRule="exact"/>
        <w:rPr>
          <w:sz w:val="20"/>
          <w:szCs w:val="20"/>
          <w:color w:val="auto"/>
        </w:rPr>
      </w:pPr>
    </w:p>
    <w:p>
      <w:pPr>
        <w:ind w:left="1660" w:hanging="820"/>
        <w:spacing w:after="0"/>
        <w:tabs>
          <w:tab w:leader="none" w:pos="1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32"/>
        <w:spacing w:after="0" w:line="235" w:lineRule="auto"/>
        <w:rPr>
          <w:sz w:val="20"/>
          <w:szCs w:val="20"/>
          <w:color w:val="auto"/>
        </w:rPr>
      </w:pPr>
      <w:r>
        <w:rPr>
          <w:rFonts w:ascii="Times New Roman" w:cs="Times New Roman" w:eastAsia="Times New Roman" w:hAnsi="Times New Roman"/>
          <w:sz w:val="22"/>
          <w:szCs w:val="22"/>
          <w:color w:val="auto"/>
        </w:rPr>
        <w:t xml:space="preserve">Issuance of certificates or other documentation evidencing the Issuable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certificates or other documentation evidencing the Common Stock are to be issued in a name other than the name of the Holder, this Warrant, when surrendered for exercise, shall be accompanied by the Assignment Form attached hereto duly executed by the Holder;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upon any transfer involved in the issuance or delivery of any certificates or other documentation evidencing the Issuable Shares the Company may require reimbursement for any tax imposed in connection with such transfer.</w:t>
      </w:r>
    </w:p>
    <w:p>
      <w:pPr>
        <w:spacing w:after="0" w:line="178" w:lineRule="exact"/>
        <w:rPr>
          <w:sz w:val="20"/>
          <w:szCs w:val="20"/>
          <w:color w:val="auto"/>
        </w:rPr>
      </w:pPr>
    </w:p>
    <w:p>
      <w:pPr>
        <w:ind w:left="1660" w:hanging="820"/>
        <w:spacing w:after="0"/>
        <w:tabs>
          <w:tab w:leader="none" w:pos="16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Shareholder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832"/>
        <w:spacing w:after="0" w:line="258" w:lineRule="auto"/>
        <w:rPr>
          <w:sz w:val="20"/>
          <w:szCs w:val="20"/>
          <w:color w:val="auto"/>
        </w:rPr>
      </w:pPr>
      <w:r>
        <w:rPr>
          <w:rFonts w:ascii="Times New Roman" w:cs="Times New Roman" w:eastAsia="Times New Roman" w:hAnsi="Times New Roman"/>
          <w:sz w:val="22"/>
          <w:szCs w:val="22"/>
          <w:color w:val="auto"/>
        </w:rPr>
        <w:t>This Warrant does not entitle the Holder to any voting rights or other rights as a shareholder of the Company prior to the exercise hereof.</w:t>
      </w:r>
    </w:p>
    <w:p>
      <w:pPr>
        <w:spacing w:after="0" w:line="158" w:lineRule="exact"/>
        <w:rPr>
          <w:sz w:val="20"/>
          <w:szCs w:val="20"/>
          <w:color w:val="auto"/>
        </w:rPr>
      </w:pPr>
    </w:p>
    <w:p>
      <w:pPr>
        <w:ind w:left="1660" w:hanging="820"/>
        <w:spacing w:after="0"/>
        <w:tabs>
          <w:tab w:leader="none" w:pos="1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and Registry of Warrant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32"/>
        <w:spacing w:after="0" w:line="238" w:lineRule="auto"/>
        <w:rPr>
          <w:sz w:val="20"/>
          <w:szCs w:val="20"/>
          <w:color w:val="auto"/>
        </w:rPr>
      </w:pPr>
      <w:r>
        <w:rPr>
          <w:rFonts w:ascii="Times New Roman" w:cs="Times New Roman" w:eastAsia="Times New Roman" w:hAnsi="Times New Roman"/>
          <w:sz w:val="22"/>
          <w:szCs w:val="22"/>
          <w:color w:val="auto"/>
        </w:rPr>
        <w:t>This Warrant is exchangeable, under the surrender hereof by the Holder at the above-mentioned office or agency of the Company, for a new Warrant of like tenor and dates as of such exchange. The Company shall maintain at such office or agency a registry showing the name and address of the Holder. This Warrant may be surrendered for exchange, transfer or exercise, in accordance with its terms, at such office of agency of the Company, and the Company shall be entitled to rely in all respects, prior to written notice to the contrary, upon such registry.</w:t>
      </w:r>
    </w:p>
    <w:p>
      <w:pPr>
        <w:spacing w:after="0" w:line="177" w:lineRule="exact"/>
        <w:rPr>
          <w:sz w:val="20"/>
          <w:szCs w:val="20"/>
          <w:color w:val="auto"/>
        </w:rPr>
      </w:pPr>
    </w:p>
    <w:p>
      <w:pPr>
        <w:ind w:left="1660" w:hanging="820"/>
        <w:spacing w:after="0"/>
        <w:tabs>
          <w:tab w:leader="none" w:pos="16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Warrant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32"/>
        <w:spacing w:after="0" w:line="234" w:lineRule="auto"/>
        <w:rPr>
          <w:sz w:val="20"/>
          <w:szCs w:val="20"/>
          <w:color w:val="auto"/>
        </w:rPr>
      </w:pPr>
      <w:r>
        <w:rPr>
          <w:rFonts w:ascii="Times New Roman" w:cs="Times New Roman" w:eastAsia="Times New Roman" w:hAnsi="Times New Roman"/>
          <w:sz w:val="22"/>
          <w:szCs w:val="22"/>
          <w:color w:val="auto"/>
        </w:rPr>
        <w:t>Upon receipt by the Company of evidence reasonably satisfactory to it of the loss, theft, destruction or mutilation of this Warrant, and in case of loss, theft or destruction, of indemnity or security reasonably satisfactory to it, and upon reimbursement to the Company of all reasonable expenses incidental thereto, and upon surrender and cancellation of such Warrant, if mutilated, the Company will make and deliver a new Warrant of like tenor and dated as of such cancellation, in lieu of this Warrant. The foregoing notwithstanding, with respect to the initial Holder of this Warrant, the Company in lieu of its rights set forth in the preceding sentence, shall only require an affidavit of loss and indemnity agreement from such Holder and such Holder shall not be obligated to provide any security therefore or to pay any fees or expenses in connection therewith.</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494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0" w:name="page251"/>
    <w:bookmarkEnd w:id="250"/>
    <w:p>
      <w:pPr>
        <w:ind w:left="1660" w:hanging="820"/>
        <w:spacing w:after="0"/>
        <w:tabs>
          <w:tab w:leader="none" w:pos="16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 Sundays, Holidays, etc.</w:t>
      </w:r>
    </w:p>
    <w:p>
      <w:pPr>
        <w:spacing w:after="0" w:line="206" w:lineRule="exact"/>
        <w:rPr>
          <w:sz w:val="20"/>
          <w:szCs w:val="20"/>
          <w:color w:val="auto"/>
        </w:rPr>
      </w:pPr>
    </w:p>
    <w:p>
      <w:pPr>
        <w:jc w:val="both"/>
        <w:ind w:right="20" w:firstLine="832"/>
        <w:spacing w:after="0" w:line="239" w:lineRule="auto"/>
        <w:rPr>
          <w:sz w:val="20"/>
          <w:szCs w:val="20"/>
          <w:color w:val="auto"/>
        </w:rPr>
      </w:pPr>
      <w:r>
        <w:rPr>
          <w:rFonts w:ascii="Times New Roman" w:cs="Times New Roman" w:eastAsia="Times New Roman" w:hAnsi="Times New Roman"/>
          <w:sz w:val="22"/>
          <w:szCs w:val="22"/>
          <w:color w:val="auto"/>
        </w:rPr>
        <w:t>If the last or appointed day for the taking of any action or the expiration of any right required or granted herein shall be a Saturday, Sunday, legal holiday or other day on which banks are required to be closed in New York, New York, then such action may be taken or such right may be exercised on the next succeeding day that is not a Saturday, Sunday, legal holiday or other day on which banks are required to be closed in New York, New York.</w:t>
      </w:r>
    </w:p>
    <w:p>
      <w:pPr>
        <w:spacing w:after="0" w:line="180" w:lineRule="exact"/>
        <w:rPr>
          <w:sz w:val="20"/>
          <w:szCs w:val="20"/>
          <w:color w:val="auto"/>
        </w:rPr>
      </w:pPr>
    </w:p>
    <w:p>
      <w:pPr>
        <w:ind w:left="1760" w:hanging="920"/>
        <w:spacing w:after="0"/>
        <w:tabs>
          <w:tab w:leader="none" w:pos="17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832"/>
        <w:spacing w:after="0" w:line="244"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Law Governing</w:t>
      </w:r>
      <w:r>
        <w:rPr>
          <w:rFonts w:ascii="Times New Roman" w:cs="Times New Roman" w:eastAsia="Times New Roman" w:hAnsi="Times New Roman"/>
          <w:sz w:val="22"/>
          <w:szCs w:val="22"/>
          <w:color w:val="auto"/>
        </w:rPr>
        <w:t>. This Warrant shall be binding upon any successors or assigns of the Company. This Warrant shall constitute a contract under the laws of the State of New York and for all purposes shall be construed in accordance with and governed by the laws of said state without regard to conflict of law principals.</w:t>
      </w:r>
    </w:p>
    <w:p>
      <w:pPr>
        <w:spacing w:after="0" w:line="173" w:lineRule="exact"/>
        <w:rPr>
          <w:sz w:val="20"/>
          <w:szCs w:val="20"/>
          <w:color w:val="auto"/>
        </w:rPr>
      </w:pPr>
    </w:p>
    <w:p>
      <w:pPr>
        <w:jc w:val="both"/>
        <w:ind w:right="20" w:firstLine="832"/>
        <w:spacing w:after="0" w:line="233"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Acquisition for Investment</w:t>
      </w:r>
      <w:r>
        <w:rPr>
          <w:rFonts w:ascii="Times New Roman" w:cs="Times New Roman" w:eastAsia="Times New Roman" w:hAnsi="Times New Roman"/>
          <w:sz w:val="22"/>
          <w:szCs w:val="22"/>
          <w:color w:val="auto"/>
        </w:rPr>
        <w:t>. Unless a current registration statement under the Securities Act of 1933, as amended, is in effect with respect to the securities purchasable upon exercise of this Warrant, the Holder hereof, by accepting this Warrant, covenants and agrees that, at the time of exercise hereof, and at the time of any proposed transfer of securities acquired upon exercise hereof, such Holder will deliver to the Company a written statement that the securities acquired by the Holder upon exercise hereof are for the account of the Holder for investment and are not acquired with a view to, or for sale in connection with, any distribution thereof (or any portion thereof) and with no present intention (at any such time) of offering and distributing such securities or any portion thereof. The certificates evidencing the securities purchasable upon exercise of this Warrant, if such securities are not subject to a current registration statement shall bear a legend to the effect that such securities have not been so registered and may not be transferred except pursuant to an effective registration statement under the Securities Act of 1933, as amended or an opinion of counsel satisfactory to the Company, in its good faith discretion, that such registration is not required. The Holder will comply with all applicable provisions of state and federal securities laws and acknowledges that the securities acquired upon the exercise of this Warrant may have restrictions upon its resale imposed by state and federal securities laws.</w:t>
      </w:r>
    </w:p>
    <w:p>
      <w:pPr>
        <w:spacing w:after="0" w:line="182" w:lineRule="exact"/>
        <w:rPr>
          <w:sz w:val="20"/>
          <w:szCs w:val="20"/>
          <w:color w:val="auto"/>
        </w:rPr>
      </w:pPr>
    </w:p>
    <w:p>
      <w:pPr>
        <w:jc w:val="both"/>
        <w:ind w:right="20" w:firstLine="832"/>
        <w:spacing w:after="0" w:line="239"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reports and other communications required or permitted hereunder shall be in writing and may be delivered in person, by telecopy with written confirmation, overnight delivery service or U.S. mail, in which event it may be mailed by first-class, certified or registered, postage prepaid, addressed to the Holder at its address as shown on the books of the Company or to the Company, at the address listed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4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(a)</w:t>
            </w:r>
          </w:p>
        </w:tc>
        <w:tc>
          <w:tcPr>
            <w:tcW w:w="812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If to the Company:</w:t>
            </w:r>
          </w:p>
        </w:tc>
      </w:tr>
      <w:tr>
        <w:trPr>
          <w:trHeight w:val="459"/>
        </w:trPr>
        <w:tc>
          <w:tcPr>
            <w:tcW w:w="3140" w:type="dxa"/>
            <w:vAlign w:val="bottom"/>
          </w:tcPr>
          <w:p>
            <w:pPr>
              <w:spacing w:after="0"/>
              <w:rPr>
                <w:sz w:val="24"/>
                <w:szCs w:val="24"/>
                <w:color w:val="auto"/>
              </w:rPr>
            </w:pPr>
          </w:p>
        </w:tc>
        <w:tc>
          <w:tcPr>
            <w:tcW w:w="8120" w:type="dxa"/>
            <w:vAlign w:val="bottom"/>
          </w:tcPr>
          <w:p>
            <w:pPr>
              <w:ind w:left="2700"/>
              <w:spacing w:after="0"/>
              <w:rPr>
                <w:sz w:val="20"/>
                <w:szCs w:val="20"/>
                <w:color w:val="auto"/>
              </w:rPr>
            </w:pPr>
            <w:r>
              <w:rPr>
                <w:rFonts w:ascii="Times New Roman" w:cs="Times New Roman" w:eastAsia="Times New Roman" w:hAnsi="Times New Roman"/>
                <w:sz w:val="22"/>
                <w:szCs w:val="22"/>
                <w:color w:val="auto"/>
              </w:rPr>
              <w:t>M3 Biotechnology, Inc.</w:t>
            </w:r>
          </w:p>
        </w:tc>
      </w:tr>
      <w:tr>
        <w:trPr>
          <w:trHeight w:val="420"/>
        </w:trPr>
        <w:tc>
          <w:tcPr>
            <w:tcW w:w="3140" w:type="dxa"/>
            <w:vAlign w:val="bottom"/>
          </w:tcPr>
          <w:p>
            <w:pPr>
              <w:spacing w:after="0"/>
              <w:rPr>
                <w:sz w:val="24"/>
                <w:szCs w:val="24"/>
                <w:color w:val="auto"/>
              </w:rPr>
            </w:pPr>
          </w:p>
        </w:tc>
        <w:tc>
          <w:tcPr>
            <w:tcW w:w="8120" w:type="dxa"/>
            <w:vAlign w:val="bottom"/>
          </w:tcPr>
          <w:p>
            <w:pPr>
              <w:ind w:left="2700"/>
              <w:spacing w:after="0"/>
              <w:rPr>
                <w:sz w:val="20"/>
                <w:szCs w:val="20"/>
                <w:color w:val="auto"/>
              </w:rPr>
            </w:pPr>
            <w:r>
              <w:rPr>
                <w:rFonts w:ascii="Times New Roman" w:cs="Times New Roman" w:eastAsia="Times New Roman" w:hAnsi="Times New Roman"/>
                <w:sz w:val="22"/>
                <w:szCs w:val="22"/>
                <w:color w:val="auto"/>
              </w:rPr>
              <w:t>1615 NE Eastgate Boulevard, Suite G-8E</w:t>
            </w:r>
          </w:p>
        </w:tc>
      </w:tr>
      <w:tr>
        <w:trPr>
          <w:trHeight w:val="243"/>
        </w:trPr>
        <w:tc>
          <w:tcPr>
            <w:tcW w:w="3140" w:type="dxa"/>
            <w:vAlign w:val="bottom"/>
          </w:tcPr>
          <w:p>
            <w:pPr>
              <w:spacing w:after="0"/>
              <w:rPr>
                <w:sz w:val="21"/>
                <w:szCs w:val="21"/>
                <w:color w:val="auto"/>
              </w:rPr>
            </w:pPr>
          </w:p>
        </w:tc>
        <w:tc>
          <w:tcPr>
            <w:tcW w:w="8120" w:type="dxa"/>
            <w:vAlign w:val="bottom"/>
          </w:tcPr>
          <w:p>
            <w:pPr>
              <w:ind w:left="2700"/>
              <w:spacing w:after="0" w:line="243" w:lineRule="exact"/>
              <w:rPr>
                <w:sz w:val="20"/>
                <w:szCs w:val="20"/>
                <w:color w:val="auto"/>
              </w:rPr>
            </w:pPr>
            <w:r>
              <w:rPr>
                <w:rFonts w:ascii="Times New Roman" w:cs="Times New Roman" w:eastAsia="Times New Roman" w:hAnsi="Times New Roman"/>
                <w:sz w:val="22"/>
                <w:szCs w:val="22"/>
                <w:color w:val="auto"/>
              </w:rPr>
              <w:t>Pullman, WA 99163</w:t>
            </w:r>
          </w:p>
        </w:tc>
      </w:tr>
      <w:tr>
        <w:trPr>
          <w:trHeight w:val="252"/>
        </w:trPr>
        <w:tc>
          <w:tcPr>
            <w:tcW w:w="3140" w:type="dxa"/>
            <w:vAlign w:val="bottom"/>
          </w:tcPr>
          <w:p>
            <w:pPr>
              <w:spacing w:after="0"/>
              <w:rPr>
                <w:sz w:val="21"/>
                <w:szCs w:val="21"/>
                <w:color w:val="auto"/>
              </w:rPr>
            </w:pPr>
          </w:p>
        </w:tc>
        <w:tc>
          <w:tcPr>
            <w:tcW w:w="8120" w:type="dxa"/>
            <w:vAlign w:val="bottom"/>
          </w:tcPr>
          <w:p>
            <w:pPr>
              <w:ind w:left="2700"/>
              <w:spacing w:after="0"/>
              <w:rPr>
                <w:sz w:val="20"/>
                <w:szCs w:val="20"/>
                <w:color w:val="auto"/>
              </w:rPr>
            </w:pPr>
            <w:r>
              <w:rPr>
                <w:rFonts w:ascii="Times New Roman" w:cs="Times New Roman" w:eastAsia="Times New Roman" w:hAnsi="Times New Roman"/>
                <w:sz w:val="22"/>
                <w:szCs w:val="22"/>
                <w:color w:val="auto"/>
              </w:rPr>
              <w:t>Attention: Lewis Rumpler, CEO</w:t>
            </w:r>
          </w:p>
        </w:tc>
      </w:tr>
      <w:tr>
        <w:trPr>
          <w:trHeight w:val="234"/>
        </w:trPr>
        <w:tc>
          <w:tcPr>
            <w:tcW w:w="3140" w:type="dxa"/>
            <w:vAlign w:val="bottom"/>
          </w:tcPr>
          <w:p>
            <w:pPr>
              <w:spacing w:after="0"/>
              <w:rPr>
                <w:sz w:val="20"/>
                <w:szCs w:val="20"/>
                <w:color w:val="auto"/>
              </w:rPr>
            </w:pPr>
          </w:p>
        </w:tc>
        <w:tc>
          <w:tcPr>
            <w:tcW w:w="81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3140" w:type="dxa"/>
            <w:vAlign w:val="bottom"/>
            <w:tcBorders>
              <w:bottom w:val="single" w:sz="8" w:color="9A9A9A"/>
            </w:tcBorders>
          </w:tcPr>
          <w:p>
            <w:pPr>
              <w:spacing w:after="0"/>
              <w:rPr>
                <w:sz w:val="10"/>
                <w:szCs w:val="10"/>
                <w:color w:val="auto"/>
              </w:rPr>
            </w:pPr>
          </w:p>
        </w:tc>
        <w:tc>
          <w:tcPr>
            <w:tcW w:w="8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8" w:right="319" w:bottom="1440" w:gutter="0" w:footer="0" w:header="0"/>
        </w:sectPr>
      </w:pPr>
    </w:p>
    <w:bookmarkStart w:id="251" w:name="page252"/>
    <w:bookmarkEnd w:id="251"/>
    <w:p>
      <w:pPr>
        <w:ind w:left="1840"/>
        <w:spacing w:after="0"/>
        <w:tabs>
          <w:tab w:leader="none" w:pos="41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If to the Holder:</w:t>
      </w:r>
    </w:p>
    <w:p>
      <w:pPr>
        <w:spacing w:after="0" w:line="20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Alzheimer’s Drug Discovery Foundation</w:t>
      </w:r>
    </w:p>
    <w:p>
      <w:pPr>
        <w:spacing w:after="0" w:line="20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57 West 57</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Street, Suite 904</w:t>
      </w:r>
    </w:p>
    <w:p>
      <w:pPr>
        <w:spacing w:after="0" w:line="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New York, NY 10019</w:t>
      </w:r>
    </w:p>
    <w:p>
      <w:pPr>
        <w:ind w:left="5840"/>
        <w:spacing w:after="0" w:line="230" w:lineRule="auto"/>
        <w:rPr>
          <w:sz w:val="20"/>
          <w:szCs w:val="20"/>
          <w:color w:val="auto"/>
        </w:rPr>
      </w:pPr>
      <w:r>
        <w:rPr>
          <w:rFonts w:ascii="Times New Roman" w:cs="Times New Roman" w:eastAsia="Times New Roman" w:hAnsi="Times New Roman"/>
          <w:sz w:val="22"/>
          <w:szCs w:val="22"/>
          <w:color w:val="auto"/>
        </w:rPr>
        <w:t>Attention: Howard Fillit, MD, Executive Director</w:t>
      </w:r>
    </w:p>
    <w:p>
      <w:pPr>
        <w:ind w:left="5840"/>
        <w:spacing w:after="0" w:line="231" w:lineRule="auto"/>
        <w:rPr>
          <w:sz w:val="20"/>
          <w:szCs w:val="20"/>
          <w:color w:val="auto"/>
        </w:rPr>
      </w:pPr>
      <w:r>
        <w:rPr>
          <w:rFonts w:ascii="Times New Roman" w:cs="Times New Roman" w:eastAsia="Times New Roman" w:hAnsi="Times New Roman"/>
          <w:sz w:val="22"/>
          <w:szCs w:val="22"/>
          <w:color w:val="auto"/>
        </w:rPr>
        <w:t>Telephone: (212) 935-2402</w:t>
      </w:r>
    </w:p>
    <w:p>
      <w:pPr>
        <w:ind w:left="5840"/>
        <w:spacing w:after="0"/>
        <w:rPr>
          <w:sz w:val="20"/>
          <w:szCs w:val="20"/>
          <w:color w:val="auto"/>
        </w:rPr>
      </w:pPr>
      <w:r>
        <w:rPr>
          <w:rFonts w:ascii="Times New Roman" w:cs="Times New Roman" w:eastAsia="Times New Roman" w:hAnsi="Times New Roman"/>
          <w:sz w:val="22"/>
          <w:szCs w:val="22"/>
          <w:color w:val="auto"/>
        </w:rPr>
        <w:t>Facsimile: (212) 935-2408</w:t>
      </w:r>
    </w:p>
    <w:p>
      <w:pPr>
        <w:spacing w:after="0" w:line="18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Allan M. Green, MD, PhD, JD, LLC</w:t>
      </w:r>
    </w:p>
    <w:p>
      <w:pPr>
        <w:spacing w:after="0" w:line="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One Mifflin Place</w:t>
      </w:r>
    </w:p>
    <w:p>
      <w:pPr>
        <w:ind w:left="5840"/>
        <w:spacing w:after="0" w:line="230" w:lineRule="auto"/>
        <w:rPr>
          <w:sz w:val="20"/>
          <w:szCs w:val="20"/>
          <w:color w:val="auto"/>
        </w:rPr>
      </w:pPr>
      <w:r>
        <w:rPr>
          <w:rFonts w:ascii="Times New Roman" w:cs="Times New Roman" w:eastAsia="Times New Roman" w:hAnsi="Times New Roman"/>
          <w:sz w:val="22"/>
          <w:szCs w:val="22"/>
          <w:color w:val="auto"/>
        </w:rPr>
        <w:t>Suite 400</w:t>
      </w:r>
    </w:p>
    <w:p>
      <w:pPr>
        <w:ind w:left="5840"/>
        <w:spacing w:after="0" w:line="231" w:lineRule="auto"/>
        <w:rPr>
          <w:sz w:val="20"/>
          <w:szCs w:val="20"/>
          <w:color w:val="auto"/>
        </w:rPr>
      </w:pPr>
      <w:r>
        <w:rPr>
          <w:rFonts w:ascii="Times New Roman" w:cs="Times New Roman" w:eastAsia="Times New Roman" w:hAnsi="Times New Roman"/>
          <w:sz w:val="22"/>
          <w:szCs w:val="22"/>
          <w:color w:val="auto"/>
        </w:rPr>
        <w:t>Cambridge, MA 02138</w:t>
      </w:r>
    </w:p>
    <w:p>
      <w:pPr>
        <w:ind w:left="5840"/>
        <w:spacing w:after="0" w:line="230" w:lineRule="auto"/>
        <w:rPr>
          <w:sz w:val="20"/>
          <w:szCs w:val="20"/>
          <w:color w:val="auto"/>
        </w:rPr>
      </w:pPr>
      <w:r>
        <w:rPr>
          <w:rFonts w:ascii="Times New Roman" w:cs="Times New Roman" w:eastAsia="Times New Roman" w:hAnsi="Times New Roman"/>
          <w:sz w:val="22"/>
          <w:szCs w:val="22"/>
          <w:color w:val="auto"/>
        </w:rPr>
        <w:t>Telephone: (617) 447-5999</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Facsimile: (617) 576-9132</w:t>
      </w:r>
    </w:p>
    <w:p>
      <w:pPr>
        <w:spacing w:after="0" w:line="182" w:lineRule="exact"/>
        <w:rPr>
          <w:sz w:val="20"/>
          <w:szCs w:val="20"/>
          <w:color w:val="auto"/>
        </w:rPr>
      </w:pPr>
    </w:p>
    <w:p>
      <w:pPr>
        <w:jc w:val="both"/>
        <w:ind w:firstLine="832"/>
        <w:spacing w:after="0" w:line="233"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It is the desire and intent of the parties that the provisions of this Warrant be enforced to the fullest extent permissible under the law and public policies applied in each jurisdiction in which enforcement is sought. Accordingly, in the event that any provision of this Warrant would be held in any jurisdiction to be invalid, prohibited or unenforceable for any reason, such provision, as to such jurisdiction, shall be ineffective, without invalidating the remaining provisions of this Warrant or affecting the validity or enforceability of such provision in any jurisdiction. Notwithstanding the foregoing, if such provision could be more narrowly drawn so as not be invalid, prohibited or unenforceable in such jurisdiction, it shall, as to such jurisdiction, be so narrowly drawn, without invalidating the remaining provisions of this Warrant or affecting the validity or enforceability of such provision in any other jurisdiction.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494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1"/>
          <w:szCs w:val="21"/>
          <w:color w:val="auto"/>
        </w:rPr>
        <w:t>IN WITNESS WHEREOF, the undersigned has executed this Warrant as of the Date of Issuance stated above.</w:t>
      </w:r>
    </w:p>
    <w:p>
      <w:pPr>
        <w:sectPr>
          <w:pgSz w:w="11900" w:h="16838" w:orient="portrait"/>
          <w:cols w:equalWidth="0" w:num="1">
            <w:col w:w="9520"/>
          </w:cols>
          <w:pgMar w:left="1160" w:top="342" w:right="1219" w:bottom="1440" w:gutter="0" w:footer="0" w:header="0"/>
        </w:sectPr>
      </w:pPr>
    </w:p>
    <w:p>
      <w:pPr>
        <w:spacing w:after="0" w:line="231" w:lineRule="exact"/>
        <w:rPr>
          <w:sz w:val="20"/>
          <w:szCs w:val="20"/>
          <w:color w:val="auto"/>
        </w:rPr>
      </w:pPr>
    </w:p>
    <w:p>
      <w:pPr>
        <w:ind w:left="5920"/>
        <w:spacing w:after="0"/>
        <w:tabs>
          <w:tab w:leader="none" w:pos="6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18415</wp:posOffset>
            </wp:positionV>
            <wp:extent cx="24771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24771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781050</wp:posOffset>
            </wp:positionV>
            <wp:extent cx="71494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520"/>
          </w:cols>
          <w:pgMar w:left="1160" w:top="342" w:right="1219" w:bottom="1440" w:gutter="0" w:footer="0" w:header="0"/>
          <w:type w:val="continuous"/>
        </w:sectPr>
      </w:pPr>
    </w:p>
    <w:bookmarkStart w:id="253" w:name="page254"/>
    <w:bookmarkEnd w:id="253"/>
    <w:p>
      <w:pPr>
        <w:jc w:val="center"/>
        <w:spacing w:after="0"/>
        <w:rPr>
          <w:sz w:val="20"/>
          <w:szCs w:val="20"/>
          <w:color w:val="auto"/>
        </w:rPr>
      </w:pPr>
      <w:r>
        <w:rPr>
          <w:rFonts w:ascii="Times New Roman" w:cs="Times New Roman" w:eastAsia="Times New Roman" w:hAnsi="Times New Roman"/>
          <w:sz w:val="22"/>
          <w:szCs w:val="22"/>
          <w:color w:val="auto"/>
        </w:rPr>
        <w:t>ASSIGNMENT FORM</w:t>
      </w:r>
    </w:p>
    <w:p>
      <w:pPr>
        <w:spacing w:after="0" w:line="206" w:lineRule="exact"/>
        <w:rPr>
          <w:sz w:val="20"/>
          <w:szCs w:val="20"/>
          <w:color w:val="auto"/>
        </w:rPr>
      </w:pPr>
    </w:p>
    <w:p>
      <w:pPr>
        <w:jc w:val="both"/>
        <w:ind w:firstLine="832"/>
        <w:spacing w:after="0" w:line="258" w:lineRule="auto"/>
        <w:rPr>
          <w:sz w:val="20"/>
          <w:szCs w:val="20"/>
          <w:color w:val="auto"/>
        </w:rPr>
      </w:pPr>
      <w:r>
        <w:rPr>
          <w:rFonts w:ascii="Times New Roman" w:cs="Times New Roman" w:eastAsia="Times New Roman" w:hAnsi="Times New Roman"/>
          <w:sz w:val="22"/>
          <w:szCs w:val="22"/>
          <w:color w:val="auto"/>
        </w:rPr>
        <w:t>(To assign the foregoing Warrant, execute this form and supply the required information. Do not use this form to purchase shares.)</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FOR VALUE RECEIVED, the undersigned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10795</wp:posOffset>
            </wp:positionV>
            <wp:extent cx="57003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(Please Print)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whose Social Security or other Taxpayer Identification Number is:_______________________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foregoing Warrant and all rights thereunder, hereby constituting and appointing</w:t>
      </w:r>
    </w:p>
    <w:p>
      <w:pPr>
        <w:spacing w:after="0" w:line="2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to transfer said Warrant on the books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9262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1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92620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 20___</w:t>
      </w: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10795</wp:posOffset>
            </wp:positionV>
            <wp:extent cx="20656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-3810</wp:posOffset>
            </wp:positionV>
            <wp:extent cx="20656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321310</wp:posOffset>
            </wp:positionV>
            <wp:extent cx="3566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158750</wp:posOffset>
            </wp:positionV>
            <wp:extent cx="3566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-3810</wp:posOffset>
            </wp:positionV>
            <wp:extent cx="20656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10795</wp:posOffset>
            </wp:positionV>
            <wp:extent cx="25031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NOTE: The signature to this Assignment Form must correspond with the name as it appears on the face of the Warrant, without alteration or enlargement or any change whatever, and must be guaranteed by a bank or trust company or by a member of the National Association of Securities Dealers, Inc. Officers of corporations and those acting in a fiduciary or other representative capacity should file proper evidence of authority to assign the foregoing Warrant.</w:t>
      </w:r>
    </w:p>
    <w:p>
      <w:pPr>
        <w:sectPr>
          <w:pgSz w:w="11900" w:h="16838" w:orient="portrait"/>
          <w:cols w:equalWidth="0" w:num="1">
            <w:col w:w="11240"/>
          </w:cols>
          <w:pgMar w:left="320" w:top="342" w:right="339" w:bottom="1440" w:gutter="0" w:footer="0" w:header="0"/>
        </w:sectPr>
      </w:pPr>
    </w:p>
    <w:bookmarkStart w:id="254" w:name="page255"/>
    <w:bookmarkEnd w:id="254"/>
    <w:p>
      <w:pPr>
        <w:ind w:left="10320"/>
        <w:spacing w:after="0"/>
        <w:rPr>
          <w:sz w:val="20"/>
          <w:szCs w:val="20"/>
          <w:color w:val="auto"/>
        </w:rPr>
      </w:pPr>
      <w:r>
        <w:rPr>
          <w:rFonts w:ascii="Times New Roman" w:cs="Times New Roman" w:eastAsia="Times New Roman" w:hAnsi="Times New Roman"/>
          <w:sz w:val="19"/>
          <w:szCs w:val="19"/>
          <w:b w:val="1"/>
          <w:bCs w:val="1"/>
          <w:color w:val="auto"/>
        </w:rPr>
        <w:t>Exhibit 4.6</w:t>
      </w:r>
    </w:p>
    <w:p>
      <w:pPr>
        <w:spacing w:after="0" w:line="2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SECURITIES REPRESENTED HEREBY HAVE NOT BEEN REGISTERED UNDER THE SECURITIES ACRT OF 1933, AS AMENDED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UNDER THE SECURITIES LAWS OF ANY STATE. THESE SECURITIES ARE SUBJECT TO RESTRICTIONS ON TRANSFERABILITY AND RESALE AND MAY NOT BE TRANSFERRED OR RESOLD EXCEPT AS PERMITTED UNDER THE ACT AND THE APPLICABLE STATE SECURITIES LAWS, PURSUSANT TO REGISTARATION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EFFORT THAT ANY PROPOSED TRANSFER OR RESALE IS IN COMPLIANCE WITH THE ACT AND ANY APPLICABLE STATE SECURITIES LAWS OR RECEIPT OR A NO-ACTION LETTER FROM THE SECURITIES AND EXCHANGE COMMISSION.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Purchase Common Stock of</w:t>
      </w:r>
    </w:p>
    <w:p>
      <w:pPr>
        <w:jc w:val="center"/>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Issuance: 26 August 2020</w:t>
      </w:r>
    </w:p>
    <w:p>
      <w:pPr>
        <w:spacing w:after="0" w:line="21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The following is a statement of the rights of the holder of this Warrant and the conditions to which this Warrant is subject, and to which the holder hereof, by the acceptance of this Warrant, agrees:</w:t>
      </w:r>
    </w:p>
    <w:p>
      <w:pPr>
        <w:spacing w:after="0" w:line="15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For value received, ATHIRA PHARMA,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to the ALZHEIMER’S DRUG DISCOVERY FOUNDATION, a public foundation organized in New York (“</w:t>
      </w:r>
      <w:r>
        <w:rPr>
          <w:rFonts w:ascii="Times New Roman" w:cs="Times New Roman" w:eastAsia="Times New Roman" w:hAnsi="Times New Roman"/>
          <w:sz w:val="20"/>
          <w:szCs w:val="20"/>
          <w:u w:val="single" w:color="auto"/>
          <w:color w:val="auto"/>
        </w:rPr>
        <w:t>ADDF</w:t>
      </w:r>
      <w:r>
        <w:rPr>
          <w:rFonts w:ascii="Times New Roman" w:cs="Times New Roman" w:eastAsia="Times New Roman" w:hAnsi="Times New Roman"/>
          <w:sz w:val="20"/>
          <w:szCs w:val="20"/>
          <w:color w:val="auto"/>
        </w:rPr>
        <w:t>”), and its registered assigns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the right to purchase from the Company 55,000 shares (the “</w:t>
      </w:r>
      <w:r>
        <w:rPr>
          <w:rFonts w:ascii="Times New Roman" w:cs="Times New Roman" w:eastAsia="Times New Roman" w:hAnsi="Times New Roman"/>
          <w:sz w:val="20"/>
          <w:szCs w:val="20"/>
          <w:u w:val="single" w:color="auto"/>
          <w:color w:val="auto"/>
        </w:rPr>
        <w:t>Issuable Shares</w:t>
      </w:r>
      <w:r>
        <w:rPr>
          <w:rFonts w:ascii="Times New Roman" w:cs="Times New Roman" w:eastAsia="Times New Roman" w:hAnsi="Times New Roman"/>
          <w:sz w:val="20"/>
          <w:szCs w:val="20"/>
          <w:color w:val="auto"/>
        </w:rPr>
        <w:t>”) of common stock of the Company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at a price per share of $1.20 (the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This Warrant may be exercised at any time prior to April 8, 2021 (the “</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This Warrant is issued under the terms of that certain Notice and Acknowledgement Regarding Warrant to Purchase Common Stock of Athira Pharma, Inc. dated August 26, 2020 (the “</w:t>
      </w:r>
      <w:r>
        <w:rPr>
          <w:rFonts w:ascii="Times New Roman" w:cs="Times New Roman" w:eastAsia="Times New Roman" w:hAnsi="Times New Roman"/>
          <w:sz w:val="20"/>
          <w:szCs w:val="20"/>
          <w:u w:val="single" w:color="auto"/>
          <w:color w:val="auto"/>
        </w:rPr>
        <w:t>Notice and Acknowledgment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860" w:hanging="852"/>
        <w:spacing w:after="0"/>
        <w:tabs>
          <w:tab w:leader="none" w:pos="8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 Not Registered.</w:t>
      </w:r>
    </w:p>
    <w:p>
      <w:pPr>
        <w:spacing w:after="0" w:line="216" w:lineRule="exact"/>
        <w:rPr>
          <w:sz w:val="20"/>
          <w:szCs w:val="20"/>
          <w:color w:val="auto"/>
        </w:rPr>
      </w:pPr>
    </w:p>
    <w:p>
      <w:pPr>
        <w:jc w:val="both"/>
        <w:ind w:left="880" w:firstLine="797"/>
        <w:spacing w:after="0" w:line="243" w:lineRule="auto"/>
        <w:rPr>
          <w:sz w:val="20"/>
          <w:szCs w:val="20"/>
          <w:color w:val="auto"/>
        </w:rPr>
      </w:pPr>
      <w:r>
        <w:rPr>
          <w:rFonts w:ascii="Times New Roman" w:cs="Times New Roman" w:eastAsia="Times New Roman" w:hAnsi="Times New Roman"/>
          <w:sz w:val="20"/>
          <w:szCs w:val="20"/>
          <w:color w:val="auto"/>
        </w:rPr>
        <w:t>The Holder of this Warrant acknowledges that neither this Warrant nor the Issuable Shares have been registered under the Act, and agrees not to sell, pledge, distribute, offer for sale, transfer or otherwise dispose of this Warrant or any Issuable Shares in the absence of (i) an effective registration statement under the Act as to this Warrant or such Issuable Shares and registration or qualification of this Warrant or such Issuable Shares under any applicable U.S. federal or state securities law then in effect or (ii) an opinion of counsel, satisfactory to the Company, that such registration and qualification are not required. Each certificate or other instrument evidencing the Issuable Shares shall bear a legend substantially to the foregoing effect.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55" w:name="page256"/>
    <w:bookmarkEnd w:id="255"/>
    <w:p>
      <w:pPr>
        <w:ind w:left="860" w:hanging="852"/>
        <w:spacing w:after="0"/>
        <w:tabs>
          <w:tab w:leader="none" w:pos="8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Warrant.</w:t>
      </w:r>
    </w:p>
    <w:p>
      <w:pPr>
        <w:spacing w:after="0" w:line="216" w:lineRule="exact"/>
        <w:rPr>
          <w:sz w:val="20"/>
          <w:szCs w:val="20"/>
          <w:color w:val="auto"/>
        </w:rPr>
      </w:pPr>
    </w:p>
    <w:p>
      <w:pPr>
        <w:jc w:val="both"/>
        <w:ind w:left="880"/>
        <w:spacing w:after="0" w:line="242" w:lineRule="auto"/>
        <w:rPr>
          <w:sz w:val="20"/>
          <w:szCs w:val="20"/>
          <w:color w:val="auto"/>
        </w:rPr>
      </w:pPr>
      <w:r>
        <w:rPr>
          <w:rFonts w:ascii="Times New Roman" w:cs="Times New Roman" w:eastAsia="Times New Roman" w:hAnsi="Times New Roman"/>
          <w:sz w:val="20"/>
          <w:szCs w:val="20"/>
          <w:color w:val="auto"/>
        </w:rPr>
        <w:t>2.1 (a) The Warrant may be exercised at any time prior to the Expiration Date upon (i) surrender to the Company at the main office of the Company (or such other office or agency of the Company as it may designate in writing to the Holder at the address of the Holder appearing on the books of the Company) of the warrant certificates, together with the Notice of Exercise annexed hereto properly completed and executed by the Holder and (ii) payment to the Company of the Exercise Price for each share of Common Stock covered by such exercise. The Exercise Price may be paid (i) in cash or by certified or official bank check or by wire transfer to an account designated by the Company for such purpose (a “</w:t>
      </w:r>
      <w:r>
        <w:rPr>
          <w:rFonts w:ascii="Times New Roman" w:cs="Times New Roman" w:eastAsia="Times New Roman" w:hAnsi="Times New Roman"/>
          <w:sz w:val="20"/>
          <w:szCs w:val="20"/>
          <w:u w:val="single" w:color="auto"/>
          <w:color w:val="auto"/>
        </w:rPr>
        <w:t>Cash Exercise</w:t>
      </w:r>
      <w:r>
        <w:rPr>
          <w:rFonts w:ascii="Times New Roman" w:cs="Times New Roman" w:eastAsia="Times New Roman" w:hAnsi="Times New Roman"/>
          <w:sz w:val="20"/>
          <w:szCs w:val="20"/>
          <w:color w:val="auto"/>
        </w:rPr>
        <w:t>”) or (ii) without the payment of cash, by reducing the number of Issuable Shares that would be obtainable upon the exercise of the Warrant and payment of the Exercise Price in cash so as to yield a number of Issuable Shares upon the exercise of such Warrant equal to the product of (x) the number of Issuable Shares for which such Warrant is exercisable as of the date of exercise (if the Exercise Price were being paid in cash) and (y) the Cashless Exercise Ratio (as defined below). An exercise of the Warrant in accordance with clause (ii) of the immediately preceding sentence is herein called a “</w:t>
      </w:r>
      <w:r>
        <w:rPr>
          <w:rFonts w:ascii="Times New Roman" w:cs="Times New Roman" w:eastAsia="Times New Roman" w:hAnsi="Times New Roman"/>
          <w:sz w:val="20"/>
          <w:szCs w:val="20"/>
          <w:u w:val="single" w:color="auto"/>
          <w:color w:val="auto"/>
        </w:rPr>
        <w:t>Cashless Exercise</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880" w:firstLine="789"/>
        <w:spacing w:after="0" w:line="254" w:lineRule="auto"/>
        <w:tabs>
          <w:tab w:leader="none" w:pos="3204"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 Cashless Exercise of the Warrant, the Company will purchase from the Holder such portion of the Warrant as would have entitled the Holder to receive the excess of the number of shares of Common Stock deliverable upon a Cash Exercise over the number of Common Stock deliverable upon Cashless Exercise, for an Exercise Price equal to the Exercise Price multiplied by the excess of the number of shares of Common Stock purchasable upon a Cash Exercise over the number of shares of Common Stock purchasable upon a Cashless Exercise. The Company agrees to and shall offset the Exercise Price referred to in the immediately preceding sentence with the obligation to pay the Exercise Price in respect of the Common Stock deliverable upon a Cashless Exercise. Upon surrender of the warrant certificate in connection with the Holder’s option to elect a Cashless Exercise, the number of shares of Common Stock deliverable upon a Cashless Exercise shall be equal to the number of shares of Common Stock issuable upon the exercise of Warrant that the Holder specifies are to be exercised pursuant to a Cashless Exercise multiplied by the Cashless Exercise Ratio. All provisions of this Warrant shall be applicable with respect to the surrender of a warrant certificate pursuant to a Cashless Exercise for less than the full number of Issuable Shares represented thereby. Upon surrender of the warrant certificate and payment of the Exercise Price in accordance with this Warrant, the Company will issue Common Stock of the Company for the portion of the Warrant exercised, subject to adjustment as described herein. Whenever there occurs a Cashless Exercise, the Company shall deliver to the Holder a certificate setting forth the Cashless Exercise Ratio. Notwithstanding the procedures contained in this Warrant that pertain to a Cashless Exercise, Holder acknowledges and agrees that in connection with the Company’s IPO (as defined in the Notice and Acknowledgment), this Warrant will be exercised in accordance with the net exercise provisions contained in the Notice and Acknowledgment.</w:t>
      </w:r>
    </w:p>
    <w:p>
      <w:pPr>
        <w:spacing w:after="0" w:line="186" w:lineRule="exact"/>
        <w:rPr>
          <w:rFonts w:ascii="Times New Roman" w:cs="Times New Roman" w:eastAsia="Times New Roman" w:hAnsi="Times New Roman"/>
          <w:sz w:val="19"/>
          <w:szCs w:val="19"/>
          <w:color w:val="auto"/>
        </w:rPr>
      </w:pPr>
    </w:p>
    <w:p>
      <w:pPr>
        <w:ind w:left="3180" w:hanging="1511"/>
        <w:spacing w:after="0"/>
        <w:tabs>
          <w:tab w:leader="none" w:pos="31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Cashless Exercise Ratio</w:t>
      </w:r>
      <w:r>
        <w:rPr>
          <w:rFonts w:ascii="Times New Roman" w:cs="Times New Roman" w:eastAsia="Times New Roman" w:hAnsi="Times New Roman"/>
          <w:sz w:val="20"/>
          <w:szCs w:val="20"/>
          <w:color w:val="auto"/>
        </w:rPr>
        <w:t>” means a fraction, the numerator of which is the amount by which the</w:t>
      </w:r>
    </w:p>
    <w:p>
      <w:pPr>
        <w:spacing w:after="0" w:line="22" w:lineRule="exact"/>
        <w:rPr>
          <w:sz w:val="20"/>
          <w:szCs w:val="20"/>
          <w:color w:val="auto"/>
        </w:rPr>
      </w:pPr>
    </w:p>
    <w:p>
      <w:pPr>
        <w:jc w:val="both"/>
        <w:ind w:left="880"/>
        <w:spacing w:after="0" w:line="239" w:lineRule="auto"/>
        <w:rPr>
          <w:sz w:val="20"/>
          <w:szCs w:val="20"/>
          <w:color w:val="auto"/>
        </w:rPr>
      </w:pPr>
      <w:r>
        <w:rPr>
          <w:rFonts w:ascii="Times New Roman" w:cs="Times New Roman" w:eastAsia="Times New Roman" w:hAnsi="Times New Roman"/>
          <w:sz w:val="20"/>
          <w:szCs w:val="20"/>
          <w:color w:val="auto"/>
        </w:rPr>
        <w:t>Current Market Value (as defined below) per share of Common Stock on the exercise date of the Warrant exceeds the Exercise Price per share of Common Stock as of such exercise date and the denominator of which is the Current Market Value per share of Common Stock on the exercise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56" w:name="page257"/>
    <w:bookmarkEnd w:id="256"/>
    <w:p>
      <w:pPr>
        <w:ind w:left="3200" w:hanging="1531"/>
        <w:spacing w:after="0"/>
        <w:tabs>
          <w:tab w:leader="none" w:pos="32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Market Value</w:t>
      </w:r>
      <w:r>
        <w:rPr>
          <w:rFonts w:ascii="Times New Roman" w:cs="Times New Roman" w:eastAsia="Times New Roman" w:hAnsi="Times New Roman"/>
          <w:sz w:val="20"/>
          <w:szCs w:val="20"/>
          <w:color w:val="auto"/>
        </w:rPr>
        <w:t>” per share of Common Stock means:</w:t>
      </w:r>
    </w:p>
    <w:p>
      <w:pPr>
        <w:spacing w:after="0" w:line="215" w:lineRule="exact"/>
        <w:rPr>
          <w:rFonts w:ascii="Times New Roman" w:cs="Times New Roman" w:eastAsia="Times New Roman" w:hAnsi="Times New Roman"/>
          <w:sz w:val="20"/>
          <w:szCs w:val="20"/>
          <w:color w:val="auto"/>
        </w:rPr>
      </w:pPr>
    </w:p>
    <w:p>
      <w:pPr>
        <w:jc w:val="both"/>
        <w:ind w:left="880" w:firstLine="1586"/>
        <w:spacing w:after="0" w:line="244" w:lineRule="auto"/>
        <w:tabs>
          <w:tab w:leader="none" w:pos="3309"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not registered under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fair market value of the Common Stock (without any discount for lack of liquidity, the amount of such Common Stock offered to be purchased or the fact that the Common Stock may represent a minority interest in a private company or a company under the control of another person) is as determined in good faith by the Board of Directors of the Company and certified in a board resolution that is delivered to the Holder, and, if requested by the Holder, determined to be fair, from a financial point of view, to the Holder, by an independent financial expert (as set forth in such independent financial expert’s written fairness opinion); or</w:t>
      </w:r>
    </w:p>
    <w:p>
      <w:pPr>
        <w:spacing w:after="0" w:line="185" w:lineRule="exact"/>
        <w:rPr>
          <w:rFonts w:ascii="Times New Roman" w:cs="Times New Roman" w:eastAsia="Times New Roman" w:hAnsi="Times New Roman"/>
          <w:sz w:val="20"/>
          <w:szCs w:val="20"/>
          <w:color w:val="auto"/>
        </w:rPr>
      </w:pPr>
    </w:p>
    <w:p>
      <w:pPr>
        <w:jc w:val="both"/>
        <w:ind w:left="880" w:firstLine="1586"/>
        <w:spacing w:after="0" w:line="243" w:lineRule="auto"/>
        <w:tabs>
          <w:tab w:leader="none" w:pos="336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registered under the Exchange Act, the average of the last reported sale price of the security (or the equivalent in an over-the-counter market) for each business day during the period commencing 15 business days before such date and ending on the date one day prior to such date, or if the Common Stock have been registered under the Exchange Act for less than 15 consecutive business days before such date, the average of the daily closing bid prices (or such equivalent) for all of the business days before such date for which daily closing bid prices are available (provided, however, that if the closing bid price is not determinable for at least 10 business days in such period, the “Current Market Value” of the security shall be determined as if the security were not registered under the Exchange Act). The Company shall pay the fees and expenses of any independent financial expert in the determination of Current Market Value.</w:t>
      </w:r>
    </w:p>
    <w:p>
      <w:pPr>
        <w:spacing w:after="0" w:line="18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2.2 Certificates or other documentation evidencing the Issuable Shares purchased hereunder shall be delivered to the Holder within a reasonable period of time after the later of (i) the date on which this Warrant is exercised, or (ii) the date on which the Exercise Price is fully paid, but in no event shall they be delivered later than 15 days following such date.</w:t>
      </w:r>
    </w:p>
    <w:p>
      <w:pPr>
        <w:spacing w:after="0" w:line="17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2.3 The Company covenants and agrees that all Issuable Shares which may be issued upon the exercise of this Warrant will be duly authorized, validly issued, fully paid and nonassessable and free from all taxes, liens, encumbrances, and charges in respect of the issue thereof (other than taxes in respect or any transfer occurring contemporaneously with such issue).</w:t>
      </w:r>
    </w:p>
    <w:p>
      <w:pPr>
        <w:spacing w:after="0" w:line="174"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2.4 The Company further covenants and agrees that, during the period within which the rights evidenced by this Warrant may be exercised, the Company will at all times during such period have authorized and reserved, for the purpose of issue or transfer upon exercise of the rights evidenced by this Warrant, a sufficient number of authorized but unissued shares of Common Stock, or other securities and property, when and as required to provide for the exercise of the rights evidenced by this Warrant. The Company will take all such action as may be necessary to assure that such Common Stock may be issued as provided herein without violation of any applicable law or regulation, or of any requirements of any securities exchange upon which the securities of the Company may be listed; provided, however, that the Company shall not be required to effect a registration under federal or state securities laws with respect to such exercise.</w:t>
      </w:r>
    </w:p>
    <w:p>
      <w:pPr>
        <w:spacing w:after="0" w:line="186" w:lineRule="exact"/>
        <w:rPr>
          <w:sz w:val="20"/>
          <w:szCs w:val="20"/>
          <w:color w:val="auto"/>
        </w:rPr>
      </w:pPr>
    </w:p>
    <w:p>
      <w:pPr>
        <w:ind w:left="860" w:hanging="852"/>
        <w:spacing w:after="0"/>
        <w:tabs>
          <w:tab w:leader="none" w:pos="8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of Exercise Price.</w:t>
      </w:r>
    </w:p>
    <w:p>
      <w:pPr>
        <w:spacing w:after="0" w:line="216" w:lineRule="exact"/>
        <w:rPr>
          <w:sz w:val="20"/>
          <w:szCs w:val="20"/>
          <w:color w:val="auto"/>
        </w:rPr>
      </w:pPr>
    </w:p>
    <w:p>
      <w:pPr>
        <w:ind w:firstLine="864"/>
        <w:spacing w:after="0" w:line="250" w:lineRule="auto"/>
        <w:rPr>
          <w:sz w:val="20"/>
          <w:szCs w:val="20"/>
          <w:color w:val="auto"/>
        </w:rPr>
      </w:pPr>
      <w:r>
        <w:rPr>
          <w:rFonts w:ascii="Times New Roman" w:cs="Times New Roman" w:eastAsia="Times New Roman" w:hAnsi="Times New Roman"/>
          <w:sz w:val="20"/>
          <w:szCs w:val="20"/>
          <w:color w:val="auto"/>
        </w:rPr>
        <w:t>3.1 The Exercise Price and the number of Issuable Shares are subject to adjustment in accordance with this Section 3 from time to time upon the occurrence of certain events described in this Section 3.</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57" w:name="page258"/>
    <w:bookmarkEnd w:id="257"/>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3.2 In the event the Company shall, at any time or from time to time after the date hereof, issue any Common Stock as a stock dividend to the holders of Common Stock, or subdivide or combine the outstanding Common Stock into a greater or lesser number of shares, or effectuate a similar sale, issuance, subdivision or combination in which no consideration is payable by the holders of Common Stock (any such sale, issuance, subdivision or combination being herein called a “</w:t>
      </w:r>
      <w:r>
        <w:rPr>
          <w:rFonts w:ascii="Times New Roman" w:cs="Times New Roman" w:eastAsia="Times New Roman" w:hAnsi="Times New Roman"/>
          <w:sz w:val="20"/>
          <w:szCs w:val="20"/>
          <w:u w:val="single" w:color="auto"/>
          <w:color w:val="auto"/>
        </w:rPr>
        <w:t>Share Change</w:t>
      </w:r>
      <w:r>
        <w:rPr>
          <w:rFonts w:ascii="Times New Roman" w:cs="Times New Roman" w:eastAsia="Times New Roman" w:hAnsi="Times New Roman"/>
          <w:sz w:val="20"/>
          <w:szCs w:val="20"/>
          <w:color w:val="auto"/>
        </w:rPr>
        <w:t>”), then, and thereafter upon each further Share Change, the Exercise Price shall be adjusted in inverse proportion to the fraction determined by dividing the number of shares of Common Stock outstanding after such event (on a fully diluted basis) by the number of shares of Common Stock outstanding before such event (on a fully diluted basis) (the “</w:t>
      </w:r>
      <w:r>
        <w:rPr>
          <w:rFonts w:ascii="Times New Roman" w:cs="Times New Roman" w:eastAsia="Times New Roman" w:hAnsi="Times New Roman"/>
          <w:sz w:val="20"/>
          <w:szCs w:val="20"/>
          <w:u w:val="single" w:color="auto"/>
          <w:color w:val="auto"/>
        </w:rPr>
        <w:t>Adjustment Ratio</w:t>
      </w:r>
      <w:r>
        <w:rPr>
          <w:rFonts w:ascii="Times New Roman" w:cs="Times New Roman" w:eastAsia="Times New Roman" w:hAnsi="Times New Roman"/>
          <w:sz w:val="20"/>
          <w:szCs w:val="20"/>
          <w:color w:val="auto"/>
        </w:rPr>
        <w:t>”) and the number of Issuable Shares shall be adjusted in direct proportion to the Adjustment Ratio.</w:t>
      </w:r>
    </w:p>
    <w:p>
      <w:pPr>
        <w:spacing w:after="0" w:line="18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3.4 For purposes of this Section 3, the number of shares of Common Stock and equity securities convertible into or exchangeable for Common Stock (“</w:t>
      </w:r>
      <w:r>
        <w:rPr>
          <w:rFonts w:ascii="Times New Roman" w:cs="Times New Roman" w:eastAsia="Times New Roman" w:hAnsi="Times New Roman"/>
          <w:sz w:val="20"/>
          <w:szCs w:val="20"/>
          <w:u w:val="single" w:color="auto"/>
          <w:color w:val="auto"/>
        </w:rPr>
        <w:t>Share Equivalents</w:t>
      </w:r>
      <w:r>
        <w:rPr>
          <w:rFonts w:ascii="Times New Roman" w:cs="Times New Roman" w:eastAsia="Times New Roman" w:hAnsi="Times New Roman"/>
          <w:sz w:val="20"/>
          <w:szCs w:val="20"/>
          <w:color w:val="auto"/>
        </w:rPr>
        <w:t>”) outstanding at any given time shall include Common Stock and Share Equivalents owned or held by or for the account of the Company.</w:t>
      </w:r>
    </w:p>
    <w:p>
      <w:pPr>
        <w:spacing w:after="0" w:line="174" w:lineRule="exact"/>
        <w:rPr>
          <w:sz w:val="20"/>
          <w:szCs w:val="20"/>
          <w:color w:val="auto"/>
        </w:rPr>
      </w:pPr>
    </w:p>
    <w:p>
      <w:pPr>
        <w:jc w:val="both"/>
        <w:ind w:left="880"/>
        <w:spacing w:after="0" w:line="245" w:lineRule="auto"/>
        <w:rPr>
          <w:sz w:val="20"/>
          <w:szCs w:val="20"/>
          <w:color w:val="auto"/>
        </w:rPr>
      </w:pPr>
      <w:r>
        <w:rPr>
          <w:rFonts w:ascii="Times New Roman" w:cs="Times New Roman" w:eastAsia="Times New Roman" w:hAnsi="Times New Roman"/>
          <w:sz w:val="20"/>
          <w:szCs w:val="20"/>
          <w:color w:val="auto"/>
        </w:rPr>
        <w:t>3.5 (a) If the Company shall be party to a Sale or Merger or an IPO, or engage in any similar transaction, then, in each case, in lieu of the Common Stock issuable upon the exercise of the Warrant immediately prior to such transaction, upon the consummation of such transaction at the option of the Holder, either (A) the Warrant shall terminate, or (B) the Holder shall receive the stock and/or other securities and/or property (including cash) to which the Holder would have been entitled (less the then effective Exercise Price) upon such Sale or Merger or similar transaction had the Holder exercised the Warrant fully immediately prior thereto, all subject to the adjustments provided herein or substantially similar adjustments.</w:t>
      </w:r>
    </w:p>
    <w:p>
      <w:pPr>
        <w:spacing w:after="0" w:line="184" w:lineRule="exact"/>
        <w:rPr>
          <w:sz w:val="20"/>
          <w:szCs w:val="20"/>
          <w:color w:val="auto"/>
        </w:rPr>
      </w:pPr>
    </w:p>
    <w:p>
      <w:pPr>
        <w:jc w:val="both"/>
        <w:ind w:left="880" w:firstLine="789"/>
        <w:spacing w:after="0" w:line="242" w:lineRule="auto"/>
        <w:tabs>
          <w:tab w:leader="none" w:pos="32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Sale or Merger</w:t>
      </w:r>
      <w:r>
        <w:rPr>
          <w:rFonts w:ascii="Times New Roman" w:cs="Times New Roman" w:eastAsia="Times New Roman" w:hAnsi="Times New Roman"/>
          <w:sz w:val="20"/>
          <w:szCs w:val="20"/>
          <w:color w:val="auto"/>
        </w:rPr>
        <w:t>” shall mean any of the following: (i) the merger or consolidation of the Company into or with another entity in which the holders of the voting equity of the Company immediately preceding such merger or consolidation shall own less than fifty percent (50%) of the voting securities of the surviving entity; (ii) the sale, transfer or lease, whether in a single transaction or pursuant to a series of related transactions or plan, of all or substantially all the assets of the Company, which assets shall include for these purposes fifty percent (50%) or more of the outstanding voting equity securities of any subsidiaries of the Company, the assets of which constitute all or substantially all the assets of the Company and its subsidiaries taken as a whole; (iii) the sale, transfer or lease, whether in a single transaction or pursuant to a series of related transactions, of all or substantially all the assets of the subsidiaries of the Company, the assets of which constitute all or substantially all of the assets of the Company and such subsidiaries taken as a whole, (iv) a sale or transfer, whether in a single transaction or series of related transactions, of fifty percent (50%) or more of the Company’s outstanding voting securities other than in a financing transaction or (v) it public offering of the securities or the Company.</w:t>
      </w:r>
    </w:p>
    <w:p>
      <w:pPr>
        <w:spacing w:after="0" w:line="19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3.6 In the event the Company at any time or from time to time makes, or fixes a record date for the determination of holders of Common Stock entitled to receive, any distribution payable in securities or assets of the Company other than Common Stock and other than as otherwise adjusted for in this Section 3, then and in each such event provision shall be made so that the holder shall receive upon exercise of the Warrant, in addition to the number of Common Stock receivable thereupon, the amount of securities or assets of the Company which the Holder would have received had the Warrant been converted into Common Stock on the date of such event and had it thereafter, during the period from the date of such event to and including the date of conversion, retained such securities receivable by it as aforesaid during such period, subject to all other adjustments called for during such period under this Section 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58" w:name="page259"/>
    <w:bookmarkEnd w:id="258"/>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3.7 The Company shall notify the Holder in writing at least twenty (20) days’ prior to the occurrence of any event requiring any adjustment as provided herein, which notice shall set forth in reasonable detail such event, the amount of the adjustment and method of calculation thereof. At any time and from time to time if any reorganization, reclassification, recapitalization, stock dividend, stock split, stock combination, transfer or lease of substantially all assets, issuance or sale of securities or other event shall occur as to which the provisions or this Section 3 are not strictly applicable, but the failure to make any adjustment would not fairly protect the rights of the Holder in accordance with the essential intent and principles hereof, then, in each such case, the number of Issuable Shares and the Exercise Price shall be appropriately adjusted to preserve, without dilution, the purchase rights represented by this Warrant and to place the holder in an equivalent economic position as it would have been in had such event not occurred. If at any time, the Company issues, or otherwise provides for or grants, rights to acquire Common Stock or securities convertible into or exchangeable for Common Stock that provide for greater or more favorable antidilution protection than the antidilution protection provided for herein (including, but not limited to, rights with respect to the events that trigger the adjustment or the formula pursuant to which any such adjustment is made), the Company shall notify the Holder of such issuance, provision or grant within ten business days of such event and this Warrant shall be deemed automatically amended as of the date of the issuance, provision or grant: or such rights or convertible securities or protections, as the case may be, so that the Holder shall receive the benefit: of such greater antidilution protection. 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3 and in the taking of all such action as may be necessary or appropriate in order to protect the rights of the holders of the Warrant against impairment.</w:t>
      </w:r>
    </w:p>
    <w:p>
      <w:pPr>
        <w:spacing w:after="0" w:line="190" w:lineRule="exact"/>
        <w:rPr>
          <w:sz w:val="20"/>
          <w:szCs w:val="20"/>
          <w:color w:val="auto"/>
        </w:rPr>
      </w:pPr>
    </w:p>
    <w:p>
      <w:pPr>
        <w:ind w:left="860" w:hanging="852"/>
        <w:spacing w:after="0"/>
        <w:tabs>
          <w:tab w:leader="none" w:pos="8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Fractional Common Stock.</w:t>
      </w:r>
    </w:p>
    <w:p>
      <w:pPr>
        <w:spacing w:after="0" w:line="216" w:lineRule="exact"/>
        <w:rPr>
          <w:sz w:val="20"/>
          <w:szCs w:val="20"/>
          <w:color w:val="auto"/>
        </w:rPr>
      </w:pPr>
    </w:p>
    <w:p>
      <w:pPr>
        <w:jc w:val="both"/>
        <w:ind w:left="880" w:firstLine="797"/>
        <w:spacing w:after="0" w:line="254" w:lineRule="auto"/>
        <w:rPr>
          <w:sz w:val="20"/>
          <w:szCs w:val="20"/>
          <w:color w:val="auto"/>
        </w:rPr>
      </w:pPr>
      <w:r>
        <w:rPr>
          <w:rFonts w:ascii="Times New Roman" w:cs="Times New Roman" w:eastAsia="Times New Roman" w:hAnsi="Times New Roman"/>
          <w:sz w:val="20"/>
          <w:szCs w:val="20"/>
          <w:color w:val="auto"/>
        </w:rPr>
        <w:t>The Company shall not be required to issue any fractional shares in connection with any exercise of this Warrant. The Company may pay to the Holder, in lieu of issuing any fractional share, a sum in cash equal to such fraction multiplied by the then effective Exercise Price.</w:t>
      </w:r>
    </w:p>
    <w:p>
      <w:pPr>
        <w:spacing w:after="0" w:line="174" w:lineRule="exact"/>
        <w:rPr>
          <w:sz w:val="20"/>
          <w:szCs w:val="20"/>
          <w:color w:val="auto"/>
        </w:rPr>
      </w:pPr>
    </w:p>
    <w:p>
      <w:pPr>
        <w:ind w:left="860" w:hanging="852"/>
        <w:spacing w:after="0"/>
        <w:tabs>
          <w:tab w:leader="none" w:pos="8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Charges, Taxes and Expenses.</w:t>
      </w:r>
    </w:p>
    <w:p>
      <w:pPr>
        <w:spacing w:after="0" w:line="216" w:lineRule="exact"/>
        <w:rPr>
          <w:sz w:val="20"/>
          <w:szCs w:val="20"/>
          <w:color w:val="auto"/>
        </w:rPr>
      </w:pPr>
    </w:p>
    <w:p>
      <w:pPr>
        <w:jc w:val="both"/>
        <w:ind w:left="880" w:firstLine="797"/>
        <w:spacing w:after="0" w:line="243" w:lineRule="auto"/>
        <w:rPr>
          <w:sz w:val="20"/>
          <w:szCs w:val="20"/>
          <w:color w:val="auto"/>
        </w:rPr>
      </w:pPr>
      <w:r>
        <w:rPr>
          <w:rFonts w:ascii="Times New Roman" w:cs="Times New Roman" w:eastAsia="Times New Roman" w:hAnsi="Times New Roman"/>
          <w:sz w:val="20"/>
          <w:szCs w:val="20"/>
          <w:color w:val="auto"/>
        </w:rPr>
        <w:t xml:space="preserve">Issuance of certificates or other documentation evidencing the Issuable Shares shall be made without charge to the Holder for any issue or transfer tax or other incidental expense in respect of the issuance of such certificate, all or which taxes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event certificates or other documentation evidencing the Common Stock are to be issued in a name other than the name or the Holder, this Warrant, when surrendered for exercise, shall be accompanied by the Assignment Form attached hereto duly executed by the Holder;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upon any transfer involved in the issuance or delivery of any certificates or other documentation evidencing the Issuable Shares the Company may require reimbursement for any tax imposed in connection with such transfer.</w:t>
      </w:r>
    </w:p>
    <w:p>
      <w:pPr>
        <w:spacing w:after="0" w:line="189" w:lineRule="exact"/>
        <w:rPr>
          <w:sz w:val="20"/>
          <w:szCs w:val="20"/>
          <w:color w:val="auto"/>
        </w:rPr>
      </w:pPr>
    </w:p>
    <w:p>
      <w:pPr>
        <w:ind w:left="860" w:hanging="852"/>
        <w:spacing w:after="0"/>
        <w:tabs>
          <w:tab w:leader="none" w:pos="8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Stockholder.</w:t>
      </w:r>
    </w:p>
    <w:p>
      <w:pPr>
        <w:spacing w:after="0" w:line="216" w:lineRule="exact"/>
        <w:rPr>
          <w:sz w:val="20"/>
          <w:szCs w:val="20"/>
          <w:color w:val="auto"/>
        </w:rPr>
      </w:pPr>
    </w:p>
    <w:p>
      <w:pPr>
        <w:ind w:left="880" w:firstLine="797"/>
        <w:spacing w:after="0" w:line="250" w:lineRule="auto"/>
        <w:rPr>
          <w:sz w:val="20"/>
          <w:szCs w:val="20"/>
          <w:color w:val="auto"/>
        </w:rPr>
      </w:pPr>
      <w:r>
        <w:rPr>
          <w:rFonts w:ascii="Times New Roman" w:cs="Times New Roman" w:eastAsia="Times New Roman" w:hAnsi="Times New Roman"/>
          <w:sz w:val="20"/>
          <w:szCs w:val="20"/>
          <w:color w:val="auto"/>
        </w:rPr>
        <w:t>This Warrant does not entitle the Holder to any voting rights or other rights as a stockholder of the Company prior to the exercise hereof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59" w:name="page260"/>
    <w:bookmarkEnd w:id="259"/>
    <w:p>
      <w:pPr>
        <w:ind w:left="860" w:hanging="852"/>
        <w:spacing w:after="0"/>
        <w:tabs>
          <w:tab w:leader="none" w:pos="8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and Registry of Warrant.</w:t>
      </w:r>
    </w:p>
    <w:p>
      <w:pPr>
        <w:spacing w:after="0" w:line="216" w:lineRule="exact"/>
        <w:rPr>
          <w:sz w:val="20"/>
          <w:szCs w:val="20"/>
          <w:color w:val="auto"/>
        </w:rPr>
      </w:pPr>
    </w:p>
    <w:p>
      <w:pPr>
        <w:jc w:val="both"/>
        <w:ind w:left="880" w:firstLine="797"/>
        <w:spacing w:after="0" w:line="246" w:lineRule="auto"/>
        <w:rPr>
          <w:sz w:val="20"/>
          <w:szCs w:val="20"/>
          <w:color w:val="auto"/>
        </w:rPr>
      </w:pPr>
      <w:r>
        <w:rPr>
          <w:rFonts w:ascii="Times New Roman" w:cs="Times New Roman" w:eastAsia="Times New Roman" w:hAnsi="Times New Roman"/>
          <w:sz w:val="20"/>
          <w:szCs w:val="20"/>
          <w:color w:val="auto"/>
        </w:rPr>
        <w:t>This Warrant is exchangeable, upon the surrender hereof by the Holder at the above-mentioned office or agency or the Company, for a new Warrant of like tenor and dated as or such exchange. The Company shall maintain at such office or agency a registry showing the name and address or the Holder, this Warrant may be surrendered for exchange, transfer or exercise, in accordance with its terms, at such office or agency of the Company, and the Company shall be entitled to rely in all respects, prior to written notice to the contrary, upon such registry.</w:t>
      </w:r>
    </w:p>
    <w:p>
      <w:pPr>
        <w:spacing w:after="0" w:line="185" w:lineRule="exact"/>
        <w:rPr>
          <w:sz w:val="20"/>
          <w:szCs w:val="20"/>
          <w:color w:val="auto"/>
        </w:rPr>
      </w:pPr>
    </w:p>
    <w:p>
      <w:pPr>
        <w:ind w:left="860" w:hanging="852"/>
        <w:spacing w:after="0"/>
        <w:tabs>
          <w:tab w:leader="none" w:pos="8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Loss, Theft, Destruction or Mutilation of Warrant.</w:t>
      </w:r>
    </w:p>
    <w:p>
      <w:pPr>
        <w:spacing w:after="0" w:line="216"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0"/>
          <w:szCs w:val="20"/>
          <w:color w:val="auto"/>
        </w:rPr>
        <w:t>Upon receipt by the Company of evidence reasonably satisfactory to it of the loss, theft, destruction or mutilation of this Warrant, and in case of loss, theft or destruction, of indemnity or security reasonably satisfactory to it, and upon reimbursement to the Company of all reasonable expenses incidental thereto, and upon surrender and cancellation of such Warrant, if mutilated, the Company will make and deliver a new Warrant of like tenor and dated as of such cancellation, in lieu of this Warrant. The foregoing notwithstanding, with respect to the initial Holder of this Warrant, the Company in lieu of its rights set forth in the preceding sentence, shall only require an affidavit of loss and indemnity agreement from such Holder and such Holder shall not be obligated to provide any security therefore or to pay any fees or expenses in connection therewith.</w:t>
      </w:r>
    </w:p>
    <w:p>
      <w:pPr>
        <w:spacing w:after="0" w:line="186" w:lineRule="exact"/>
        <w:rPr>
          <w:sz w:val="20"/>
          <w:szCs w:val="20"/>
          <w:color w:val="auto"/>
        </w:rPr>
      </w:pPr>
    </w:p>
    <w:p>
      <w:pPr>
        <w:ind w:left="860" w:hanging="852"/>
        <w:spacing w:after="0"/>
        <w:tabs>
          <w:tab w:leader="none" w:pos="8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Saturdays, Sundays, Holidays, etc.</w:t>
      </w:r>
    </w:p>
    <w:p>
      <w:pPr>
        <w:spacing w:after="0" w:line="216" w:lineRule="exact"/>
        <w:rPr>
          <w:sz w:val="20"/>
          <w:szCs w:val="20"/>
          <w:color w:val="auto"/>
        </w:rPr>
      </w:pPr>
    </w:p>
    <w:p>
      <w:pPr>
        <w:jc w:val="both"/>
        <w:ind w:left="880" w:firstLine="797"/>
        <w:spacing w:after="0" w:line="249" w:lineRule="auto"/>
        <w:rPr>
          <w:sz w:val="20"/>
          <w:szCs w:val="20"/>
          <w:color w:val="auto"/>
        </w:rPr>
      </w:pPr>
      <w:r>
        <w:rPr>
          <w:rFonts w:ascii="Times New Roman" w:cs="Times New Roman" w:eastAsia="Times New Roman" w:hAnsi="Times New Roman"/>
          <w:sz w:val="20"/>
          <w:szCs w:val="20"/>
          <w:color w:val="auto"/>
        </w:rPr>
        <w:t>If the last or appointed day for the taking of any action or the expiration of any right required or granted herein shall be a Saturday, Sunday, legal holiday or other day on which banks are required to be closed in New York, New York, then such action may be taken or such right may be exercised on the next succeeding day that is not a Saturday, Sunday, legal holiday or other day on which banks are required to be closed in New York, New York.</w:t>
      </w:r>
    </w:p>
    <w:p>
      <w:pPr>
        <w:spacing w:after="0" w:line="180" w:lineRule="exact"/>
        <w:rPr>
          <w:sz w:val="20"/>
          <w:szCs w:val="20"/>
          <w:color w:val="auto"/>
        </w:rPr>
      </w:pPr>
    </w:p>
    <w:p>
      <w:pPr>
        <w:ind w:left="860" w:hanging="852"/>
        <w:spacing w:after="0"/>
        <w:tabs>
          <w:tab w:leader="none" w:pos="8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Law Governing</w:t>
      </w:r>
      <w:r>
        <w:rPr>
          <w:rFonts w:ascii="Times New Roman" w:cs="Times New Roman" w:eastAsia="Times New Roman" w:hAnsi="Times New Roman"/>
          <w:sz w:val="20"/>
          <w:szCs w:val="20"/>
          <w:color w:val="auto"/>
        </w:rPr>
        <w:t>. This Warrant shall he binding upon any successors or assigns of the Company. This Warrant shall constitute a contract under the laws of the State of New York and for all purposes shall be construed in accordance with and governed by the laws of said state without regard to conflict of law principals.</w:t>
      </w:r>
    </w:p>
    <w:p>
      <w:pPr>
        <w:spacing w:after="0" w:line="174"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Acquisition for Investment</w:t>
      </w:r>
      <w:r>
        <w:rPr>
          <w:rFonts w:ascii="Times New Roman" w:cs="Times New Roman" w:eastAsia="Times New Roman" w:hAnsi="Times New Roman"/>
          <w:sz w:val="20"/>
          <w:szCs w:val="20"/>
          <w:color w:val="auto"/>
        </w:rPr>
        <w:t>. Unless a current registration statement under the Securities Act of 1933, as amended, is in effect with respect to the securities purchasable upon exercise of this Warrant, the Holder hereof, by accepting this Warrant, covenants and agrees that, at the time of exercise hereof, and at the time of any proposed transfer of securities acquired upon exercise hereof, such Holder will deliver to the Company a written statement that the securities acquired by the Holder upon exercise hereof are for the account of the Holder for investment and are not acquired with a view to, or for sale in connection with, any distribution thereof (or any portion thereof) and with no present intention (at any such time) of offering and distributing such securities or any portion thereof. The certificates evidencing the securities purchasable upon exercise of this Warrant, if such securities are not subject to a current registration statement, shall bear a legend to the effect that such securities have not been so registered and may not be transferred except pursuant to an effective registration statement under the Securities Act of 1933, as amended, or an opinion of counsel satisfactory to the Company, in its good faith discretion, that such registration is not required. The Holder will comply with all applicable provisions of state and federal securities laws and acknowledges that the securities acquired upon the exercise of this Warrant may have restrictions upon its resale imposed by state and federal securities laws.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60" w:name="page261"/>
    <w:bookmarkEnd w:id="260"/>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reports and other communications required or permitted hereunder shall be in writing and may be delivered in person, by telecopy with written confirmation, overnight delivery service or U.S. mail, in which event it may be mailed by first-class, certified or registered, postage prepaid, addressed to the Holder at its address as shown on the books of the Company or to the Company, at the address listed below:</w:t>
      </w:r>
    </w:p>
    <w:p>
      <w:pPr>
        <w:spacing w:after="0" w:line="207" w:lineRule="exact"/>
        <w:rPr>
          <w:sz w:val="20"/>
          <w:szCs w:val="20"/>
          <w:color w:val="auto"/>
        </w:rPr>
      </w:pPr>
    </w:p>
    <w:p>
      <w:pPr>
        <w:ind w:left="2460" w:hanging="508"/>
        <w:spacing w:after="0"/>
        <w:tabs>
          <w:tab w:leader="none" w:pos="24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4000 Mason Road, Suite 300</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Seattle, WA 98195</w:t>
      </w:r>
    </w:p>
    <w:p>
      <w:pPr>
        <w:ind w:left="5620"/>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194" w:lineRule="exact"/>
        <w:rPr>
          <w:sz w:val="20"/>
          <w:szCs w:val="20"/>
          <w:color w:val="auto"/>
        </w:rPr>
      </w:pPr>
    </w:p>
    <w:p>
      <w:pPr>
        <w:ind w:left="1960"/>
        <w:spacing w:after="0"/>
        <w:tabs>
          <w:tab w:leader="none" w:pos="2460" w:val="left"/>
          <w:tab w:leader="none" w:pos="5600" w:val="left"/>
        </w:tabs>
        <w:rPr>
          <w:sz w:val="20"/>
          <w:szCs w:val="20"/>
          <w:color w:val="auto"/>
        </w:rPr>
      </w:pPr>
      <w:r>
        <w:rPr>
          <w:rFonts w:ascii="Times New Roman" w:cs="Times New Roman" w:eastAsia="Times New Roman" w:hAnsi="Times New Roman"/>
          <w:sz w:val="20"/>
          <w:szCs w:val="20"/>
          <w:color w:val="auto"/>
        </w:rPr>
        <w:t>(b)</w:t>
        <w:tab/>
        <w:t>If to the Holder:</w:t>
      </w:r>
      <w:r>
        <w:rPr>
          <w:sz w:val="20"/>
          <w:szCs w:val="20"/>
          <w:color w:val="auto"/>
        </w:rPr>
        <w:tab/>
      </w:r>
      <w:r>
        <w:rPr>
          <w:rFonts w:ascii="Times New Roman" w:cs="Times New Roman" w:eastAsia="Times New Roman" w:hAnsi="Times New Roman"/>
          <w:sz w:val="19"/>
          <w:szCs w:val="19"/>
          <w:color w:val="auto"/>
        </w:rPr>
        <w:t>Alzheimer’s Drug Discovery Foundation</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57 West 57th Street, Suite 904</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New York, NY 10019</w:t>
      </w:r>
    </w:p>
    <w:p>
      <w:pPr>
        <w:ind w:left="5620"/>
        <w:spacing w:after="0"/>
        <w:rPr>
          <w:sz w:val="20"/>
          <w:szCs w:val="20"/>
          <w:color w:val="auto"/>
        </w:rPr>
      </w:pPr>
      <w:r>
        <w:rPr>
          <w:rFonts w:ascii="Times New Roman" w:cs="Times New Roman" w:eastAsia="Times New Roman" w:hAnsi="Times New Roman"/>
          <w:sz w:val="20"/>
          <w:szCs w:val="20"/>
          <w:color w:val="auto"/>
        </w:rPr>
        <w:t>Attention: Howard Fillit, MD, Executive Director</w:t>
      </w:r>
    </w:p>
    <w:p>
      <w:pPr>
        <w:ind w:left="5620"/>
        <w:spacing w:after="0"/>
        <w:rPr>
          <w:sz w:val="20"/>
          <w:szCs w:val="20"/>
          <w:color w:val="auto"/>
        </w:rPr>
      </w:pPr>
      <w:r>
        <w:rPr>
          <w:rFonts w:ascii="Times New Roman" w:cs="Times New Roman" w:eastAsia="Times New Roman" w:hAnsi="Times New Roman"/>
          <w:sz w:val="20"/>
          <w:szCs w:val="20"/>
          <w:color w:val="auto"/>
        </w:rPr>
        <w:t>Telephone: (212) 935-2402</w:t>
      </w:r>
    </w:p>
    <w:p>
      <w:pPr>
        <w:ind w:left="5620"/>
        <w:spacing w:after="0"/>
        <w:rPr>
          <w:sz w:val="20"/>
          <w:szCs w:val="20"/>
          <w:color w:val="auto"/>
        </w:rPr>
      </w:pPr>
      <w:r>
        <w:rPr>
          <w:rFonts w:ascii="Times New Roman" w:cs="Times New Roman" w:eastAsia="Times New Roman" w:hAnsi="Times New Roman"/>
          <w:sz w:val="20"/>
          <w:szCs w:val="20"/>
          <w:color w:val="auto"/>
        </w:rPr>
        <w:t>Facsimile: (212) 935-2408</w:t>
      </w:r>
    </w:p>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Allan M, Green, MD, PhD, JD, LLC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One Mifflin Place</w:t>
      </w:r>
    </w:p>
    <w:p>
      <w:pPr>
        <w:ind w:left="5620"/>
        <w:spacing w:after="0"/>
        <w:rPr>
          <w:sz w:val="20"/>
          <w:szCs w:val="20"/>
          <w:color w:val="auto"/>
        </w:rPr>
      </w:pPr>
      <w:r>
        <w:rPr>
          <w:rFonts w:ascii="Times New Roman" w:cs="Times New Roman" w:eastAsia="Times New Roman" w:hAnsi="Times New Roman"/>
          <w:sz w:val="20"/>
          <w:szCs w:val="20"/>
          <w:color w:val="auto"/>
        </w:rPr>
        <w:t>Suite 400</w:t>
      </w:r>
    </w:p>
    <w:p>
      <w:pPr>
        <w:ind w:left="5620"/>
        <w:spacing w:after="0"/>
        <w:rPr>
          <w:sz w:val="20"/>
          <w:szCs w:val="20"/>
          <w:color w:val="auto"/>
        </w:rPr>
      </w:pPr>
      <w:r>
        <w:rPr>
          <w:rFonts w:ascii="Times New Roman" w:cs="Times New Roman" w:eastAsia="Times New Roman" w:hAnsi="Times New Roman"/>
          <w:sz w:val="20"/>
          <w:szCs w:val="20"/>
          <w:color w:val="auto"/>
        </w:rPr>
        <w:t>Cambridge, MA 02138</w:t>
      </w:r>
    </w:p>
    <w:p>
      <w:pPr>
        <w:ind w:left="5620"/>
        <w:spacing w:after="0"/>
        <w:rPr>
          <w:sz w:val="20"/>
          <w:szCs w:val="20"/>
          <w:color w:val="auto"/>
        </w:rPr>
      </w:pPr>
      <w:r>
        <w:rPr>
          <w:rFonts w:ascii="Times New Roman" w:cs="Times New Roman" w:eastAsia="Times New Roman" w:hAnsi="Times New Roman"/>
          <w:sz w:val="20"/>
          <w:szCs w:val="20"/>
          <w:color w:val="auto"/>
        </w:rPr>
        <w:t>Telephone: (617) 447.5999</w:t>
      </w:r>
    </w:p>
    <w:p>
      <w:pPr>
        <w:ind w:left="5620"/>
        <w:spacing w:after="0"/>
        <w:rPr>
          <w:sz w:val="20"/>
          <w:szCs w:val="20"/>
          <w:color w:val="auto"/>
        </w:rPr>
      </w:pPr>
      <w:r>
        <w:rPr>
          <w:rFonts w:ascii="Times New Roman" w:cs="Times New Roman" w:eastAsia="Times New Roman" w:hAnsi="Times New Roman"/>
          <w:sz w:val="20"/>
          <w:szCs w:val="20"/>
          <w:color w:val="auto"/>
        </w:rPr>
        <w:t>Facsimile: (617) 576-9132</w:t>
      </w:r>
    </w:p>
    <w:p>
      <w:pPr>
        <w:spacing w:after="0" w:line="221"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It is the desire and intent of the parties that the provisions of this Warrant be enforced to the fullest extent permissible under the law and public policies applied in each jurisdiction in which enforcement is sought. Accordingly, in the event that any provision of this Warrant would be held in any jurisdiction to be invalid, prohibited or unenforceable for any reason, such provision, as to such jurisdiction, shall be ineffective, without invalidating the remaining provisions of this Warrant or affecting the validity or enforceability of such provision in any jurisdiction. Notwithstanding the foregoing, if such provision could be more narrowly drawn so as not be invalid, prohibited or unenforceable in such jurisdiction, it shall, as to such jurisdiction, be so narrowly drawn, without invalidating the remaining provisions of this Warrant or affecting the validity or enforceability of such provision in army other, jurisdiction.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Warrant as of the Date of Issuance stated above.</w:t>
      </w: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16" w:lineRule="exact"/>
        <w:rPr>
          <w:sz w:val="20"/>
          <w:szCs w:val="20"/>
          <w:color w:val="auto"/>
        </w:rPr>
      </w:pPr>
    </w:p>
    <w:p>
      <w:pPr>
        <w:ind w:left="4460"/>
        <w:spacing w:after="0"/>
        <w:tabs>
          <w:tab w:leader="none" w:pos="50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13970</wp:posOffset>
            </wp:positionV>
            <wp:extent cx="337756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265" w:right="1440"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20"/>
          <w:szCs w:val="20"/>
          <w:color w:val="auto"/>
        </w:rPr>
        <w:t>ASSIGNMENT FORM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assign the foregoing Warrant, execute this form and supply the required information. Do not use this form to purchase shares.)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FOR VALUE RECEIVED, the undersigned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60350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whose address is</w:t>
      </w:r>
    </w:p>
    <w:p>
      <w:pPr>
        <w:spacing w:after="0" w:line="2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0"/>
          <w:szCs w:val="20"/>
          <w:color w:val="auto"/>
        </w:rPr>
        <w:t>(Please Print)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whose Social Security or other Taxpayer Identification Number is:</w:t>
      </w:r>
      <w:r>
        <w:rPr>
          <w:rFonts w:ascii="Times New Roman" w:cs="Times New Roman" w:eastAsia="Times New Roman" w:hAnsi="Times New Roman"/>
          <w:sz w:val="20"/>
          <w:szCs w:val="20"/>
          <w:u w:val="single" w:color="auto"/>
          <w:color w:val="auto"/>
        </w:rPr>
        <w:t>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Warrant and all rights thereunder, hereby constituting and appointing _________________________ to transfer said Warrant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on the books of </w:t>
      </w:r>
      <w:r>
        <w:rPr>
          <w:rFonts w:ascii="Times New Roman" w:cs="Times New Roman" w:eastAsia="Times New Roman" w:hAnsi="Times New Roman"/>
          <w:sz w:val="20"/>
          <w:szCs w:val="20"/>
          <w:u w:val="single" w:color="auto"/>
          <w:color w:val="auto"/>
        </w:rPr>
        <w:t>__________</w:t>
      </w:r>
      <w:r>
        <w:rPr>
          <w:rFonts w:ascii="Times New Roman" w:cs="Times New Roman" w:eastAsia="Times New Roman" w:hAnsi="Times New Roman"/>
          <w:sz w:val="20"/>
          <w:szCs w:val="20"/>
          <w:color w:val="auto"/>
        </w:rPr>
        <w:t xml:space="preserve"> with full power of substitution in the premises.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r>
        <w:rPr>
          <w:rFonts w:ascii="Times New Roman" w:cs="Times New Roman" w:eastAsia="Times New Roman" w:hAnsi="Times New Roman"/>
          <w:sz w:val="20"/>
          <w:szCs w:val="20"/>
          <w:u w:val="single" w:color="auto"/>
          <w:color w:val="auto"/>
        </w:rPr>
        <w:t>________</w:t>
      </w:r>
      <w:r>
        <w:rPr>
          <w:rFonts w:ascii="Times New Roman" w:cs="Times New Roman" w:eastAsia="Times New Roman" w:hAnsi="Times New Roman"/>
          <w:sz w:val="20"/>
          <w:szCs w:val="20"/>
          <w:color w:val="auto"/>
        </w:rPr>
        <w:t>, 202__</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13970</wp:posOffset>
            </wp:positionV>
            <wp:extent cx="20656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4445</wp:posOffset>
            </wp:positionV>
            <wp:extent cx="20656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20"/>
          <w:szCs w:val="20"/>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150495</wp:posOffset>
            </wp:positionV>
            <wp:extent cx="35572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4445</wp:posOffset>
            </wp:positionV>
            <wp:extent cx="20656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-139700</wp:posOffset>
            </wp:positionV>
            <wp:extent cx="355727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Guaranteed:</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NOTE: The signature to this Assignment Form must correspond with the name as it appears on the face of the Warrant, without alteration or enlargement or any change whatever, and must be guaranteed by a bank or trust company or by a member of the National Association of Securities Dealers, Inc. Officers of corporations and those acting in a fiduciary or other representative capacity should file proper evidence of authority to assign the foregoing Warrant.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0"/>
          <w:szCs w:val="20"/>
          <w:color w:val="auto"/>
        </w:rPr>
        <w:t>NOTICE OF EXERCISE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w:t>
      </w:r>
    </w:p>
    <w:p>
      <w:pPr>
        <w:spacing w:after="0" w:line="216" w:lineRule="exact"/>
        <w:rPr>
          <w:sz w:val="20"/>
          <w:szCs w:val="20"/>
          <w:color w:val="auto"/>
        </w:rPr>
      </w:pPr>
    </w:p>
    <w:p>
      <w:pPr>
        <w:ind w:left="880" w:hanging="872"/>
        <w:spacing w:after="0"/>
        <w:tabs>
          <w:tab w:leader="none" w:pos="88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hereby elects to purchase __________________ shares (the “</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of ________________________</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pursuant to the terms of the attached Warrant, and herewith makes payment of $_________ therefor in cash or check.</w:t>
      </w:r>
    </w:p>
    <w:p>
      <w:pPr>
        <w:spacing w:after="0" w:line="193" w:lineRule="exact"/>
        <w:rPr>
          <w:rFonts w:ascii="Times New Roman" w:cs="Times New Roman" w:eastAsia="Times New Roman" w:hAnsi="Times New Roman"/>
          <w:sz w:val="19"/>
          <w:szCs w:val="19"/>
          <w:color w:val="auto"/>
        </w:rPr>
      </w:pPr>
    </w:p>
    <w:p>
      <w:pPr>
        <w:ind w:firstLine="8"/>
        <w:spacing w:after="0" w:line="269" w:lineRule="auto"/>
        <w:tabs>
          <w:tab w:leader="none" w:pos="87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Please issue a certificate or certificates representing the Common Stock in the name of the undersigned or in such other name as is specified below:</w:t>
      </w:r>
    </w:p>
    <w:p>
      <w:pPr>
        <w:spacing w:after="0" w:line="3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-139700</wp:posOffset>
            </wp:positionV>
            <wp:extent cx="360870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(Print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-139700</wp:posOffset>
            </wp:positionV>
            <wp:extent cx="360870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96" w:lineRule="exact"/>
        <w:rPr>
          <w:sz w:val="20"/>
          <w:szCs w:val="20"/>
          <w:color w:val="auto"/>
        </w:rPr>
      </w:pPr>
    </w:p>
    <w:p>
      <w:pPr>
        <w:jc w:val="both"/>
        <w:ind w:firstLine="8"/>
        <w:spacing w:after="0" w:line="254" w:lineRule="auto"/>
        <w:tabs>
          <w:tab w:leader="none" w:pos="87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confirms that the Common Stock are being acquired for the account of the undersigned for investment only and not with a view to, or for resale in connection with, the distribution thereof and that the undersigned has no present intention of distributing or selling the Common Stock.</w:t>
      </w:r>
    </w:p>
    <w:p>
      <w:pPr>
        <w:spacing w:after="0" w:line="200" w:lineRule="exact"/>
        <w:rPr>
          <w:sz w:val="20"/>
          <w:szCs w:val="20"/>
          <w:color w:val="auto"/>
        </w:rPr>
      </w:pPr>
    </w:p>
    <w:p>
      <w:pPr>
        <w:spacing w:after="0" w:line="204" w:lineRule="exact"/>
        <w:rPr>
          <w:sz w:val="20"/>
          <w:szCs w:val="20"/>
          <w:color w:val="auto"/>
        </w:rPr>
      </w:pPr>
    </w:p>
    <w:p>
      <w:pPr>
        <w:spacing w:after="0"/>
        <w:tabs>
          <w:tab w:leader="none" w:pos="782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-139700</wp:posOffset>
            </wp:positionV>
            <wp:extent cx="37547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10</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481"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EQUITY INCENTIVE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August 27, 2020</w:t>
      </w:r>
    </w:p>
    <w:p>
      <w:pPr>
        <w:spacing w:after="0" w:line="301" w:lineRule="exact"/>
        <w:rPr>
          <w:sz w:val="20"/>
          <w:szCs w:val="20"/>
          <w:color w:val="auto"/>
        </w:rPr>
      </w:pPr>
    </w:p>
    <w:p>
      <w:pPr>
        <w:ind w:left="820" w:hanging="812"/>
        <w:spacing w:after="0"/>
        <w:tabs>
          <w:tab w:leader="none" w:pos="82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92" w:lineRule="exact"/>
        <w:rPr>
          <w:rFonts w:ascii="Times New Roman" w:cs="Times New Roman" w:eastAsia="Times New Roman" w:hAnsi="Times New Roman"/>
          <w:sz w:val="22"/>
          <w:szCs w:val="22"/>
          <w:b w:val="1"/>
          <w:bCs w:val="1"/>
          <w:color w:val="auto"/>
        </w:rPr>
      </w:pPr>
    </w:p>
    <w:p>
      <w:pPr>
        <w:ind w:left="1760" w:hanging="888"/>
        <w:spacing w:after="0"/>
        <w:tabs>
          <w:tab w:leader="none" w:pos="176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Eligible Stock Award Recipients</w:t>
      </w:r>
      <w:r>
        <w:rPr>
          <w:rFonts w:ascii="Times New Roman" w:cs="Times New Roman" w:eastAsia="Times New Roman" w:hAnsi="Times New Roman"/>
          <w:sz w:val="22"/>
          <w:szCs w:val="22"/>
          <w:color w:val="auto"/>
        </w:rPr>
        <w:t>. The persons eligible to receive Stock Awards are Employees, Directors</w:t>
      </w:r>
    </w:p>
    <w:p>
      <w:pPr>
        <w:spacing w:after="0" w:line="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Consultants.</w:t>
      </w:r>
    </w:p>
    <w:p>
      <w:pPr>
        <w:spacing w:after="0" w:line="164" w:lineRule="exact"/>
        <w:rPr>
          <w:rFonts w:ascii="Times New Roman" w:cs="Times New Roman" w:eastAsia="Times New Roman" w:hAnsi="Times New Roman"/>
          <w:sz w:val="22"/>
          <w:szCs w:val="22"/>
          <w:color w:val="auto"/>
        </w:rPr>
      </w:pPr>
    </w:p>
    <w:p>
      <w:pPr>
        <w:jc w:val="both"/>
        <w:ind w:firstLine="872"/>
        <w:spacing w:after="0" w:line="235" w:lineRule="auto"/>
        <w:tabs>
          <w:tab w:leader="none" w:pos="176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Available Stock Awards</w:t>
      </w:r>
      <w:r>
        <w:rPr>
          <w:rFonts w:ascii="Times New Roman" w:cs="Times New Roman" w:eastAsia="Times New Roman" w:hAnsi="Times New Roman"/>
          <w:sz w:val="22"/>
          <w:szCs w:val="22"/>
          <w:color w:val="auto"/>
        </w:rPr>
        <w:t>. The Plan provides for the grant of the following Stock Awards: (i) Incentive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(ii) Nonstatutory Stock Options, (iii) Stock Appreciation Rights, (iv) Restricted Stock Awards, and (v) Restricted Stock Unit Awards.</w:t>
      </w:r>
    </w:p>
    <w:p>
      <w:pPr>
        <w:spacing w:after="0" w:line="161" w:lineRule="exact"/>
        <w:rPr>
          <w:rFonts w:ascii="Times New Roman" w:cs="Times New Roman" w:eastAsia="Times New Roman" w:hAnsi="Times New Roman"/>
          <w:sz w:val="22"/>
          <w:szCs w:val="22"/>
          <w:color w:val="auto"/>
        </w:rPr>
      </w:pPr>
    </w:p>
    <w:p>
      <w:pPr>
        <w:jc w:val="both"/>
        <w:ind w:firstLine="872"/>
        <w:spacing w:after="0" w:line="231" w:lineRule="auto"/>
        <w:tabs>
          <w:tab w:leader="none" w:pos="175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w:t>
      </w:r>
      <w:r>
        <w:rPr>
          <w:rFonts w:ascii="Times New Roman" w:cs="Times New Roman" w:eastAsia="Times New Roman" w:hAnsi="Times New Roman"/>
          <w:sz w:val="22"/>
          <w:szCs w:val="22"/>
          <w:color w:val="auto"/>
        </w:rPr>
        <w:t>. The Company, by means of the Plan, seeks to secure and retain the services of the group of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to receive Stock Awards as set forth in Section l(a),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160"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192" w:lineRule="exact"/>
        <w:rPr>
          <w:rFonts w:ascii="Times New Roman" w:cs="Times New Roman" w:eastAsia="Times New Roman" w:hAnsi="Times New Roman"/>
          <w:sz w:val="22"/>
          <w:szCs w:val="22"/>
          <w:b w:val="1"/>
          <w:bCs w:val="1"/>
          <w:color w:val="auto"/>
        </w:rPr>
      </w:pPr>
    </w:p>
    <w:p>
      <w:pPr>
        <w:ind w:firstLine="872"/>
        <w:spacing w:after="0" w:line="249" w:lineRule="auto"/>
        <w:tabs>
          <w:tab w:leader="none" w:pos="175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Administration by Board</w:t>
      </w:r>
      <w:r>
        <w:rPr>
          <w:rFonts w:ascii="Times New Roman" w:cs="Times New Roman" w:eastAsia="Times New Roman" w:hAnsi="Times New Roman"/>
          <w:sz w:val="22"/>
          <w:szCs w:val="22"/>
          <w:color w:val="auto"/>
        </w:rPr>
        <w:t>. The Board shall administer the Plan unless and until the Board delegates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administration of the Plan to a Committee or Committees, as provided in Section 2(c).</w:t>
      </w:r>
    </w:p>
    <w:p>
      <w:pPr>
        <w:spacing w:after="0" w:line="150" w:lineRule="exact"/>
        <w:rPr>
          <w:rFonts w:ascii="Times New Roman" w:cs="Times New Roman" w:eastAsia="Times New Roman" w:hAnsi="Times New Roman"/>
          <w:sz w:val="22"/>
          <w:szCs w:val="22"/>
          <w:color w:val="auto"/>
        </w:rPr>
      </w:pPr>
    </w:p>
    <w:p>
      <w:pPr>
        <w:ind w:firstLine="872"/>
        <w:spacing w:after="0" w:line="249" w:lineRule="auto"/>
        <w:tabs>
          <w:tab w:leader="none" w:pos="176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Powers of Board</w:t>
      </w:r>
      <w:r>
        <w:rPr>
          <w:rFonts w:ascii="Times New Roman" w:cs="Times New Roman" w:eastAsia="Times New Roman" w:hAnsi="Times New Roman"/>
          <w:sz w:val="22"/>
          <w:szCs w:val="22"/>
          <w:color w:val="auto"/>
        </w:rPr>
        <w:t>. The Board shall have the power, subject to, and within the limitations of, the express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the Plan:</w:t>
      </w:r>
    </w:p>
    <w:p>
      <w:pPr>
        <w:spacing w:after="0" w:line="154" w:lineRule="exact"/>
        <w:rPr>
          <w:rFonts w:ascii="Times New Roman" w:cs="Times New Roman" w:eastAsia="Times New Roman" w:hAnsi="Times New Roman"/>
          <w:sz w:val="22"/>
          <w:szCs w:val="22"/>
          <w:color w:val="auto"/>
        </w:rPr>
      </w:pPr>
    </w:p>
    <w:p>
      <w:pPr>
        <w:jc w:val="both"/>
        <w:ind w:firstLine="1734"/>
        <w:spacing w:after="0" w:line="226" w:lineRule="auto"/>
        <w:tabs>
          <w:tab w:leader="none" w:pos="2578"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63" w:lineRule="exact"/>
        <w:rPr>
          <w:rFonts w:ascii="Times New Roman" w:cs="Times New Roman" w:eastAsia="Times New Roman" w:hAnsi="Times New Roman"/>
          <w:sz w:val="22"/>
          <w:szCs w:val="22"/>
          <w:color w:val="auto"/>
        </w:rPr>
      </w:pPr>
    </w:p>
    <w:p>
      <w:pPr>
        <w:jc w:val="both"/>
        <w:ind w:firstLine="1734"/>
        <w:spacing w:after="0" w:line="230" w:lineRule="auto"/>
        <w:tabs>
          <w:tab w:leader="none" w:pos="2638"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spacing w:after="0" w:line="164" w:lineRule="exact"/>
        <w:rPr>
          <w:rFonts w:ascii="Times New Roman" w:cs="Times New Roman" w:eastAsia="Times New Roman" w:hAnsi="Times New Roman"/>
          <w:sz w:val="22"/>
          <w:szCs w:val="22"/>
          <w:color w:val="auto"/>
        </w:rPr>
      </w:pPr>
    </w:p>
    <w:p>
      <w:pPr>
        <w:ind w:left="2700" w:hanging="966"/>
        <w:spacing w:after="0"/>
        <w:tabs>
          <w:tab w:leader="none" w:pos="2700"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settle all controversies regarding the Plan and Stock Awards granted under it.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5" w:name="page266"/>
    <w:bookmarkEnd w:id="265"/>
    <w:p>
      <w:pPr>
        <w:jc w:val="both"/>
        <w:ind w:firstLine="1734"/>
        <w:spacing w:after="0" w:line="234" w:lineRule="auto"/>
        <w:tabs>
          <w:tab w:leader="none" w:pos="268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64" w:lineRule="exact"/>
        <w:rPr>
          <w:rFonts w:ascii="Times New Roman" w:cs="Times New Roman" w:eastAsia="Times New Roman" w:hAnsi="Times New Roman"/>
          <w:sz w:val="22"/>
          <w:szCs w:val="22"/>
          <w:color w:val="auto"/>
        </w:rPr>
      </w:pPr>
    </w:p>
    <w:p>
      <w:pPr>
        <w:jc w:val="both"/>
        <w:ind w:firstLine="1734"/>
        <w:spacing w:after="0" w:line="234" w:lineRule="auto"/>
        <w:tabs>
          <w:tab w:leader="none" w:pos="262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suspend or terminate the Plan at any time. Suspension or termination of the Plan shall not impair rights and obligations under any Stock Award granted while the Plan is in effect except with the written consent of the affected Participant.</w:t>
      </w:r>
    </w:p>
    <w:p>
      <w:pPr>
        <w:spacing w:after="0" w:line="164" w:lineRule="exact"/>
        <w:rPr>
          <w:rFonts w:ascii="Times New Roman" w:cs="Times New Roman" w:eastAsia="Times New Roman" w:hAnsi="Times New Roman"/>
          <w:sz w:val="22"/>
          <w:szCs w:val="22"/>
          <w:color w:val="auto"/>
        </w:rPr>
      </w:pPr>
    </w:p>
    <w:p>
      <w:pPr>
        <w:jc w:val="both"/>
        <w:ind w:firstLine="1734"/>
        <w:spacing w:after="0" w:line="221" w:lineRule="auto"/>
        <w:tabs>
          <w:tab w:leader="none" w:pos="268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amend the Plan in any respect the Board deems necessary or advisable, including, without limitation, amendments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or as provided in Section 2(b)(xi) relating to an Exchange Program, to the extent required by applicable law, stockholder approval shall be required for any amendment of the Plan that either (A) materially increases the number of shares of Common Stock available for issuance under the Plan, (B) materially expands the class of individuals eligible to receive Stock Awards under the Plan, (C) materially increases the benefits accruing to Participants under the Plan or materially reduces the price at which shares of Common Stock may be issued or purchased under the Plan, (D) materially extends the term of the Plan, or (E) expands the types of Stock Awards available for issuance under the Plan. Except as provided above, rights under any Stock Award granted before amendment of the Plan shall not be impaired by any amendment of the Plan unless (1) the Company requests the consent of the affected Participant, and (2) such Participant consents in writing.</w:t>
      </w:r>
    </w:p>
    <w:p>
      <w:pPr>
        <w:spacing w:after="0" w:line="174" w:lineRule="exact"/>
        <w:rPr>
          <w:rFonts w:ascii="Times New Roman" w:cs="Times New Roman" w:eastAsia="Times New Roman" w:hAnsi="Times New Roman"/>
          <w:sz w:val="22"/>
          <w:szCs w:val="22"/>
          <w:color w:val="auto"/>
        </w:rPr>
      </w:pPr>
    </w:p>
    <w:p>
      <w:pPr>
        <w:ind w:right="20" w:firstLine="1734"/>
        <w:spacing w:after="0" w:line="245" w:lineRule="auto"/>
        <w:tabs>
          <w:tab w:leader="none" w:pos="274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submit any amendment to the Plan for stockholder approval, including, but not limited to, amendments to the Plan intended to satisfy the requirements of Section 422 of the Code regarding Incentive Stock Options.</w:t>
      </w:r>
    </w:p>
    <w:p>
      <w:pPr>
        <w:spacing w:after="0" w:line="158" w:lineRule="exact"/>
        <w:rPr>
          <w:rFonts w:ascii="Times New Roman" w:cs="Times New Roman" w:eastAsia="Times New Roman" w:hAnsi="Times New Roman"/>
          <w:sz w:val="22"/>
          <w:szCs w:val="22"/>
          <w:color w:val="auto"/>
        </w:rPr>
      </w:pPr>
    </w:p>
    <w:p>
      <w:pPr>
        <w:jc w:val="both"/>
        <w:ind w:firstLine="1734"/>
        <w:spacing w:after="0" w:line="224" w:lineRule="auto"/>
        <w:tabs>
          <w:tab w:leader="none" w:pos="280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provided however, that, the rights under any Stock Award shall not be impaired by any such amendment unless (i) the Company requests the consent of the affected Participant, and (ii) such 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w:t>
      </w:r>
    </w:p>
    <w:p>
      <w:pPr>
        <w:spacing w:after="0" w:line="163" w:lineRule="exact"/>
        <w:rPr>
          <w:rFonts w:ascii="Times New Roman" w:cs="Times New Roman" w:eastAsia="Times New Roman" w:hAnsi="Times New Roman"/>
          <w:sz w:val="22"/>
          <w:szCs w:val="22"/>
          <w:color w:val="auto"/>
        </w:rPr>
      </w:pPr>
    </w:p>
    <w:p>
      <w:pPr>
        <w:jc w:val="both"/>
        <w:ind w:firstLine="1734"/>
        <w:spacing w:after="0" w:line="234" w:lineRule="auto"/>
        <w:tabs>
          <w:tab w:leader="none" w:pos="268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6" w:name="page267"/>
    <w:bookmarkEnd w:id="266"/>
    <w:p>
      <w:pPr>
        <w:ind w:firstLine="1734"/>
        <w:spacing w:after="0" w:line="245" w:lineRule="auto"/>
        <w:tabs>
          <w:tab w:leader="none" w:pos="262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such procedures and sub-plans as are necessary or appropriate to permit participation in the Plan by Employees, Directors or Consultants who are foreign nationals or employed outside the United States.</w:t>
      </w:r>
    </w:p>
    <w:p>
      <w:pPr>
        <w:spacing w:after="0" w:line="158" w:lineRule="exact"/>
        <w:rPr>
          <w:rFonts w:ascii="Times New Roman" w:cs="Times New Roman" w:eastAsia="Times New Roman" w:hAnsi="Times New Roman"/>
          <w:sz w:val="22"/>
          <w:szCs w:val="22"/>
          <w:color w:val="auto"/>
        </w:rPr>
      </w:pPr>
    </w:p>
    <w:p>
      <w:pPr>
        <w:jc w:val="both"/>
        <w:ind w:firstLine="1734"/>
        <w:spacing w:after="0" w:line="224" w:lineRule="auto"/>
        <w:tabs>
          <w:tab w:leader="none" w:pos="268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effect, at any time and from time to time, including unilaterally, but subject to the consent of any adversely affected Participant, (A) the increase or reduction of the exercise price (or strike price) of any outstanding Stock Award, (B) the cancellation or surrender of any outstanding Stock Award under the Plan in exchange for awards of the same type (which may have higher or lower exercise prices and different terms), awards of a different type, cash, and/or other valuable consideration (as determined by the Board, in its sole discretion), (C) an arrangement whereby Participants would have the opportunity to transfer any outstanding Stock Awards to a financial institution or other person or entity selected by the Board, and/or (D) any other action that is treated as a repricing under generally accepted accounting principles (each, an “</w:t>
      </w:r>
      <w:r>
        <w:rPr>
          <w:rFonts w:ascii="Times New Roman" w:cs="Times New Roman" w:eastAsia="Times New Roman" w:hAnsi="Times New Roman"/>
          <w:sz w:val="22"/>
          <w:szCs w:val="22"/>
          <w:b w:val="1"/>
          <w:bCs w:val="1"/>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The Board, in its sole discretion, will determine the terms and conditions of any Exchange Program.</w:t>
      </w:r>
    </w:p>
    <w:p>
      <w:pPr>
        <w:spacing w:after="0" w:line="159" w:lineRule="exact"/>
        <w:rPr>
          <w:rFonts w:ascii="Times New Roman" w:cs="Times New Roman" w:eastAsia="Times New Roman" w:hAnsi="Times New Roman"/>
          <w:sz w:val="22"/>
          <w:szCs w:val="22"/>
          <w:color w:val="auto"/>
        </w:rPr>
      </w:pPr>
    </w:p>
    <w:p>
      <w:pPr>
        <w:jc w:val="both"/>
        <w:ind w:firstLine="872"/>
        <w:spacing w:after="0" w:line="224" w:lineRule="auto"/>
        <w:tabs>
          <w:tab w:leader="none" w:pos="174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Delegation to Committee</w:t>
      </w:r>
      <w:r>
        <w:rPr>
          <w:rFonts w:ascii="Times New Roman" w:cs="Times New Roman" w:eastAsia="Times New Roman" w:hAnsi="Times New Roman"/>
          <w:sz w:val="22"/>
          <w:szCs w:val="22"/>
          <w:color w:val="auto"/>
        </w:rPr>
        <w:t>. The Board may delegate some or all of the administration of the Plan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or Committees. If 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163" w:lineRule="exact"/>
        <w:rPr>
          <w:rFonts w:ascii="Times New Roman" w:cs="Times New Roman" w:eastAsia="Times New Roman" w:hAnsi="Times New Roman"/>
          <w:sz w:val="22"/>
          <w:szCs w:val="22"/>
          <w:color w:val="auto"/>
        </w:rPr>
      </w:pPr>
    </w:p>
    <w:p>
      <w:pPr>
        <w:jc w:val="both"/>
        <w:ind w:firstLine="872"/>
        <w:spacing w:after="0" w:line="224" w:lineRule="auto"/>
        <w:tabs>
          <w:tab w:leader="none" w:pos="176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Delegation to an Officer</w:t>
      </w:r>
      <w:r>
        <w:rPr>
          <w:rFonts w:ascii="Times New Roman" w:cs="Times New Roman" w:eastAsia="Times New Roman" w:hAnsi="Times New Roman"/>
          <w:sz w:val="22"/>
          <w:szCs w:val="22"/>
          <w:color w:val="auto"/>
        </w:rPr>
        <w:t>. The Board may delegate to one or more Officers of the Company the authority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 one or both of the following: (i) designate Officers and Employees of the Company or any of its Subsidiaries to be recipients of Options and Stock Appreciation Rights (and, to the extent permitted by applicable law, other Stock Awards) and the terms thereof, and (ii) determine the number of shares of Common Stock to be subject to such Stock Awards granted to such Officers and Employees; provided, however,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pursuant to Section 13(t) below.</w:t>
      </w:r>
    </w:p>
    <w:p>
      <w:pPr>
        <w:spacing w:after="0" w:line="163" w:lineRule="exact"/>
        <w:rPr>
          <w:rFonts w:ascii="Times New Roman" w:cs="Times New Roman" w:eastAsia="Times New Roman" w:hAnsi="Times New Roman"/>
          <w:sz w:val="22"/>
          <w:szCs w:val="22"/>
          <w:color w:val="auto"/>
        </w:rPr>
      </w:pPr>
    </w:p>
    <w:p>
      <w:pPr>
        <w:ind w:right="20" w:firstLine="872"/>
        <w:spacing w:after="0" w:line="249" w:lineRule="auto"/>
        <w:tabs>
          <w:tab w:leader="none" w:pos="174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 of Board’s Decision</w:t>
      </w:r>
      <w:r>
        <w:rPr>
          <w:rFonts w:ascii="Times New Roman" w:cs="Times New Roman" w:eastAsia="Times New Roman" w:hAnsi="Times New Roman"/>
          <w:sz w:val="22"/>
          <w:szCs w:val="22"/>
          <w:color w:val="auto"/>
        </w:rPr>
        <w:t>. All determinations, interpretations and constructions made by the Board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faith shall not be subject to review by any person and shall be final, binding and conclusive on all persons.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7" w:name="page268"/>
    <w:bookmarkEnd w:id="267"/>
    <w:p>
      <w:pPr>
        <w:ind w:left="820" w:hanging="812"/>
        <w:spacing w:after="0"/>
        <w:tabs>
          <w:tab w:leader="none" w:pos="8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SUBJECT TO THE PLAN.</w:t>
      </w:r>
    </w:p>
    <w:p>
      <w:pPr>
        <w:spacing w:after="0" w:line="192" w:lineRule="exact"/>
        <w:rPr>
          <w:rFonts w:ascii="Times New Roman" w:cs="Times New Roman" w:eastAsia="Times New Roman" w:hAnsi="Times New Roman"/>
          <w:sz w:val="22"/>
          <w:szCs w:val="22"/>
          <w:b w:val="1"/>
          <w:bCs w:val="1"/>
          <w:color w:val="auto"/>
        </w:rPr>
      </w:pPr>
    </w:p>
    <w:p>
      <w:pPr>
        <w:jc w:val="both"/>
        <w:ind w:firstLine="872"/>
        <w:spacing w:after="0" w:line="224" w:lineRule="auto"/>
        <w:tabs>
          <w:tab w:leader="none" w:pos="174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 Subject to the provisions of Section 9(a) relating to Capitalization Adjustments, the aggregate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of Common Stock that may be issued pursuant to Stock Awards beginning on the Effective Date shall not exceed twenty million three hundred thirty five thousand (20,335,000) shares (the “</w:t>
      </w:r>
      <w:r>
        <w:rPr>
          <w:rFonts w:ascii="Times New Roman" w:cs="Times New Roman" w:eastAsia="Times New Roman" w:hAnsi="Times New Roman"/>
          <w:sz w:val="22"/>
          <w:szCs w:val="22"/>
          <w:b w:val="1"/>
          <w:bCs w:val="1"/>
          <w:i w:val="1"/>
          <w:iCs w:val="1"/>
          <w:color w:val="auto"/>
        </w:rPr>
        <w:t>Share Reserve</w:t>
      </w:r>
      <w:r>
        <w:rPr>
          <w:rFonts w:ascii="Times New Roman" w:cs="Times New Roman" w:eastAsia="Times New Roman" w:hAnsi="Times New Roman"/>
          <w:sz w:val="22"/>
          <w:szCs w:val="22"/>
          <w:color w:val="auto"/>
        </w:rPr>
        <w:t>”). Furthermore, if a Stock Award (i) expires or otherwise terminates without having been exercised in full or (ii) is settled in cash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holder of the Stock Award receives cash rather than stock), such expiration, termination or settlement shall not reduce (or otherwise offset) the number of shares of Common Stock that may be issued pursuant to the Plan. For clarity, the limitation in this Section 3(a) is a limitation in the number of shares of Common Stock that may be issued pursuant to the Plan. Accordingly, this Section 3(a) does not limit the granting of Stock Awards except as provided in Section 7(a).</w:t>
      </w:r>
    </w:p>
    <w:p>
      <w:pPr>
        <w:spacing w:after="0" w:line="163" w:lineRule="exact"/>
        <w:rPr>
          <w:rFonts w:ascii="Times New Roman" w:cs="Times New Roman" w:eastAsia="Times New Roman" w:hAnsi="Times New Roman"/>
          <w:sz w:val="22"/>
          <w:szCs w:val="22"/>
          <w:color w:val="auto"/>
        </w:rPr>
      </w:pPr>
    </w:p>
    <w:p>
      <w:pPr>
        <w:jc w:val="both"/>
        <w:ind w:firstLine="872"/>
        <w:spacing w:after="0" w:line="226" w:lineRule="auto"/>
        <w:tabs>
          <w:tab w:leader="none" w:pos="176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Reversion of Shares to the Share Reserve</w:t>
      </w:r>
      <w:r>
        <w:rPr>
          <w:rFonts w:ascii="Times New Roman" w:cs="Times New Roman" w:eastAsia="Times New Roman" w:hAnsi="Times New Roman"/>
          <w:sz w:val="22"/>
          <w:szCs w:val="22"/>
          <w:color w:val="auto"/>
        </w:rPr>
        <w:t>. If any shares of Common Stock issued pursuant to a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forfeited back to the 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Notwithstanding the provisions of this Section 3(b), any such shares shall not be subsequently issued pursuant to the exercise of Incentive Stock Options.</w:t>
      </w:r>
    </w:p>
    <w:p>
      <w:pPr>
        <w:spacing w:after="0" w:line="163" w:lineRule="exact"/>
        <w:rPr>
          <w:rFonts w:ascii="Times New Roman" w:cs="Times New Roman" w:eastAsia="Times New Roman" w:hAnsi="Times New Roman"/>
          <w:sz w:val="22"/>
          <w:szCs w:val="22"/>
          <w:color w:val="auto"/>
        </w:rPr>
      </w:pPr>
    </w:p>
    <w:p>
      <w:pPr>
        <w:jc w:val="both"/>
        <w:ind w:firstLine="872"/>
        <w:spacing w:after="0" w:line="235" w:lineRule="auto"/>
        <w:tabs>
          <w:tab w:leader="none" w:pos="174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Incentive Stock Option Limit</w:t>
      </w:r>
      <w:r>
        <w:rPr>
          <w:rFonts w:ascii="Times New Roman" w:cs="Times New Roman" w:eastAsia="Times New Roman" w:hAnsi="Times New Roman"/>
          <w:sz w:val="22"/>
          <w:szCs w:val="22"/>
          <w:color w:val="auto"/>
        </w:rPr>
        <w:t>. Notwithstanding anything to the contrary in this Section 3(c),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Section 9(a) relating to Capitalization Adjustments, the aggregate maximum number of shares of Common Stock that may be issued pursuant to the exercise of Incentive Stock Options shall be three (3) times the Share Reserve.</w:t>
      </w:r>
    </w:p>
    <w:p>
      <w:pPr>
        <w:spacing w:after="0" w:line="161" w:lineRule="exact"/>
        <w:rPr>
          <w:rFonts w:ascii="Times New Roman" w:cs="Times New Roman" w:eastAsia="Times New Roman" w:hAnsi="Times New Roman"/>
          <w:sz w:val="22"/>
          <w:szCs w:val="22"/>
          <w:color w:val="auto"/>
        </w:rPr>
      </w:pPr>
    </w:p>
    <w:p>
      <w:pPr>
        <w:ind w:firstLine="872"/>
        <w:spacing w:after="0" w:line="249" w:lineRule="auto"/>
        <w:tabs>
          <w:tab w:leader="none" w:pos="176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Source of Shares</w:t>
      </w:r>
      <w:r>
        <w:rPr>
          <w:rFonts w:ascii="Times New Roman" w:cs="Times New Roman" w:eastAsia="Times New Roman" w:hAnsi="Times New Roman"/>
          <w:sz w:val="22"/>
          <w:szCs w:val="22"/>
          <w:color w:val="auto"/>
        </w:rPr>
        <w:t>. The stock issuable under the Plan shall be shares of authorized but unissued or reacquired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including shares repurchased by the Company on the open market or otherwise.</w:t>
      </w:r>
    </w:p>
    <w:p>
      <w:pPr>
        <w:spacing w:after="0" w:line="150"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192" w:lineRule="exact"/>
        <w:rPr>
          <w:rFonts w:ascii="Times New Roman" w:cs="Times New Roman" w:eastAsia="Times New Roman" w:hAnsi="Times New Roman"/>
          <w:sz w:val="22"/>
          <w:szCs w:val="22"/>
          <w:b w:val="1"/>
          <w:bCs w:val="1"/>
          <w:color w:val="auto"/>
        </w:rPr>
      </w:pPr>
    </w:p>
    <w:p>
      <w:pPr>
        <w:jc w:val="both"/>
        <w:ind w:firstLine="872"/>
        <w:spacing w:after="0" w:line="224" w:lineRule="auto"/>
        <w:tabs>
          <w:tab w:leader="none" w:pos="175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 for Specific Stock Awards</w:t>
      </w:r>
      <w:r>
        <w:rPr>
          <w:rFonts w:ascii="Times New Roman" w:cs="Times New Roman" w:eastAsia="Times New Roman" w:hAnsi="Times New Roman"/>
          <w:sz w:val="22"/>
          <w:szCs w:val="22"/>
          <w:color w:val="auto"/>
        </w:rPr>
        <w:t>. Incentive Stock Options may be granted only to employees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a “parent corporation” or “subsidiary corporation” thereof (as such terms are defined in Sections 424(e) and (f) of the Code). Stock Awards other than Incentive Stock Options may be granted to Employees, Directors and Consultants; provided, however, Nonstatutory Stock Options and SARs may not be granted to Employees, Directors and Consultants who are providing Continuous Service only to any “parent” of the Company, as such term is defined in Rule 405, unless the stock underlying such Stock Awards is treated as “service recipient stock” under Section 409A of the Code because the Stock Awards are granted pursuant to a corporate transaction (such as a spin off transaction) or unless such Stock Awards comply with the distribution requirements of Section 409A of the Code.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68" w:name="page269"/>
    <w:bookmarkEnd w:id="268"/>
    <w:p>
      <w:pPr>
        <w:jc w:val="both"/>
        <w:ind w:firstLine="872"/>
        <w:spacing w:after="0" w:line="235" w:lineRule="auto"/>
        <w:tabs>
          <w:tab w:leader="none" w:pos="1691"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Ten Percent Shareholders</w:t>
      </w:r>
      <w:r>
        <w:rPr>
          <w:rFonts w:ascii="Times New Roman" w:cs="Times New Roman" w:eastAsia="Times New Roman" w:hAnsi="Times New Roman"/>
          <w:sz w:val="22"/>
          <w:szCs w:val="22"/>
          <w:color w:val="auto"/>
        </w:rPr>
        <w:t>. A Ten Percent Shareholder shall not be granted an Incentive Stock Option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exercise price of such Option is at least one hundred ten percent (110%) of the Fair Market Value on the date of grant and the Option is not exercisable after the expiration of five (5) years from the date of grant.</w:t>
      </w:r>
    </w:p>
    <w:p>
      <w:pPr>
        <w:spacing w:after="0" w:line="161" w:lineRule="exact"/>
        <w:rPr>
          <w:rFonts w:ascii="Times New Roman" w:cs="Times New Roman" w:eastAsia="Times New Roman" w:hAnsi="Times New Roman"/>
          <w:sz w:val="22"/>
          <w:szCs w:val="22"/>
          <w:color w:val="auto"/>
        </w:rPr>
      </w:pPr>
    </w:p>
    <w:p>
      <w:pPr>
        <w:jc w:val="both"/>
        <w:ind w:firstLine="872"/>
        <w:spacing w:after="0" w:line="226" w:lineRule="auto"/>
        <w:tabs>
          <w:tab w:leader="none" w:pos="1679"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Consultants</w:t>
      </w:r>
      <w:r>
        <w:rPr>
          <w:rFonts w:ascii="Times New Roman" w:cs="Times New Roman" w:eastAsia="Times New Roman" w:hAnsi="Times New Roman"/>
          <w:sz w:val="22"/>
          <w:szCs w:val="22"/>
          <w:color w:val="auto"/>
        </w:rPr>
        <w:t>. A Consultant shall not be eligible for the grant of a Stock Award if, at the time of grant,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offer or the sale of the 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63"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PROVISIONS RELATING TO OPTIONS AND STOCK APPRECIATION RIGHTS.</w:t>
      </w:r>
    </w:p>
    <w:p>
      <w:pPr>
        <w:spacing w:after="0" w:line="197" w:lineRule="exact"/>
        <w:rPr>
          <w:sz w:val="20"/>
          <w:szCs w:val="20"/>
          <w:color w:val="auto"/>
        </w:rPr>
      </w:pPr>
    </w:p>
    <w:p>
      <w:pPr>
        <w:jc w:val="both"/>
        <w:ind w:firstLine="777"/>
        <w:spacing w:after="0" w:line="224" w:lineRule="auto"/>
        <w:rPr>
          <w:sz w:val="20"/>
          <w:szCs w:val="20"/>
          <w:color w:val="auto"/>
        </w:rPr>
      </w:pPr>
      <w:r>
        <w:rPr>
          <w:rFonts w:ascii="Times New Roman" w:cs="Times New Roman" w:eastAsia="Times New Roman" w:hAnsi="Times New Roman"/>
          <w:sz w:val="22"/>
          <w:szCs w:val="22"/>
          <w:color w:val="auto"/>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Option Agreement or Stock Appreciation Right Agreement shall conform to (through incorporation of provisions hereof by reference in the applicable Stock Award Agreement or otherwise) the substance of each of the following provisions:</w:t>
      </w:r>
    </w:p>
    <w:p>
      <w:pPr>
        <w:spacing w:after="0" w:line="166" w:lineRule="exact"/>
        <w:rPr>
          <w:sz w:val="20"/>
          <w:szCs w:val="20"/>
          <w:color w:val="auto"/>
        </w:rPr>
      </w:pPr>
    </w:p>
    <w:p>
      <w:pPr>
        <w:jc w:val="both"/>
        <w:ind w:firstLine="872"/>
        <w:spacing w:after="0" w:line="235" w:lineRule="auto"/>
        <w:tabs>
          <w:tab w:leader="none" w:pos="167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Subject to the provisions of Section 4(b) regarding Ten Percent Shareholders, no Option or SAR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exercisable after the expiration of ten (10) years from the date of its grant or such shorter period specified in the Stock Award Agreement.</w:t>
      </w:r>
    </w:p>
    <w:p>
      <w:pPr>
        <w:spacing w:after="0" w:line="161" w:lineRule="exact"/>
        <w:rPr>
          <w:rFonts w:ascii="Times New Roman" w:cs="Times New Roman" w:eastAsia="Times New Roman" w:hAnsi="Times New Roman"/>
          <w:sz w:val="22"/>
          <w:szCs w:val="22"/>
          <w:color w:val="auto"/>
        </w:rPr>
      </w:pPr>
    </w:p>
    <w:p>
      <w:pPr>
        <w:jc w:val="both"/>
        <w:ind w:firstLine="872"/>
        <w:spacing w:after="0" w:line="224" w:lineRule="auto"/>
        <w:tabs>
          <w:tab w:leader="none" w:pos="169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Subject to the provisions of Section 4(b) regarding Incentive Stock Options granted to 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Percent Shareholders, the exercise price (or strike price) of each Option or SAR shall be not less than one hundred percent (100%) of the Fair Market Value of the Common Stock subject to the Option or SAR on the date the Option or SAR is granted. Notwithstanding the foregoing, an Option or SAR may be granted with an exercise price (or strike price) lower than one hundred percent (100%) of the Fair Market Value of the Common Stock subject to the Option or SAR if such Option or SAR is granted pursuant to an assumption of or substitution for another option or stock appreciation right pursuant to a Corporate Transaction and in a manner consistent with the provisions of Sections 409A and 424(a) of the Code (whether or not such Stock Awards are Incentive Stock Options). Each SAR will be denominated in shares of Common Stock equivalents.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69" w:name="page270"/>
    <w:bookmarkEnd w:id="269"/>
    <w:p>
      <w:pPr>
        <w:jc w:val="both"/>
        <w:ind w:firstLine="872"/>
        <w:spacing w:after="0" w:line="239" w:lineRule="auto"/>
        <w:tabs>
          <w:tab w:leader="none" w:pos="1679"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Consideration for Options</w:t>
      </w:r>
      <w:r>
        <w:rPr>
          <w:rFonts w:ascii="Times New Roman" w:cs="Times New Roman" w:eastAsia="Times New Roman" w:hAnsi="Times New Roman"/>
          <w:sz w:val="21"/>
          <w:szCs w:val="21"/>
          <w:color w:val="auto"/>
        </w:rPr>
        <w:t>. The purchase price of Common Stock acquired pursuant to the exercise of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shall be paid, to the extent permitted by 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165" w:lineRule="exact"/>
        <w:rPr>
          <w:rFonts w:ascii="Times New Roman" w:cs="Times New Roman" w:eastAsia="Times New Roman" w:hAnsi="Times New Roman"/>
          <w:sz w:val="21"/>
          <w:szCs w:val="21"/>
          <w:color w:val="auto"/>
        </w:rPr>
      </w:pPr>
    </w:p>
    <w:p>
      <w:pPr>
        <w:ind w:left="2580" w:hanging="846"/>
        <w:spacing w:after="0"/>
        <w:tabs>
          <w:tab w:leader="none" w:pos="258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cash, check, bank draft or money order payable to the Company;</w:t>
      </w:r>
    </w:p>
    <w:p>
      <w:pPr>
        <w:spacing w:after="0" w:line="192" w:lineRule="exact"/>
        <w:rPr>
          <w:rFonts w:ascii="Times New Roman" w:cs="Times New Roman" w:eastAsia="Times New Roman" w:hAnsi="Times New Roman"/>
          <w:sz w:val="22"/>
          <w:szCs w:val="22"/>
          <w:color w:val="auto"/>
        </w:rPr>
      </w:pPr>
    </w:p>
    <w:p>
      <w:pPr>
        <w:jc w:val="both"/>
        <w:ind w:firstLine="1734"/>
        <w:spacing w:after="0" w:line="234" w:lineRule="auto"/>
        <w:tabs>
          <w:tab w:leader="none" w:pos="2638"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64" w:lineRule="exact"/>
        <w:rPr>
          <w:rFonts w:ascii="Times New Roman" w:cs="Times New Roman" w:eastAsia="Times New Roman" w:hAnsi="Times New Roman"/>
          <w:sz w:val="22"/>
          <w:szCs w:val="22"/>
          <w:color w:val="auto"/>
        </w:rPr>
      </w:pPr>
    </w:p>
    <w:p>
      <w:pPr>
        <w:ind w:left="2700" w:hanging="966"/>
        <w:spacing w:after="0"/>
        <w:tabs>
          <w:tab w:leader="none" w:pos="2700"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delivery to the Company (either by actual delivery or attestation) of shares of Common Stock;</w:t>
      </w:r>
    </w:p>
    <w:p>
      <w:pPr>
        <w:spacing w:after="0" w:line="204" w:lineRule="exact"/>
        <w:rPr>
          <w:rFonts w:ascii="Times New Roman" w:cs="Times New Roman" w:eastAsia="Times New Roman" w:hAnsi="Times New Roman"/>
          <w:sz w:val="21"/>
          <w:szCs w:val="21"/>
          <w:color w:val="auto"/>
        </w:rPr>
      </w:pPr>
    </w:p>
    <w:p>
      <w:pPr>
        <w:jc w:val="both"/>
        <w:ind w:firstLine="1734"/>
        <w:spacing w:after="0" w:line="224" w:lineRule="auto"/>
        <w:tabs>
          <w:tab w:leader="none" w:pos="2686"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accept a cash or other payment from the Participant to the extent of any remaining balance of the aggregate exercise price not satisfied by such reduction in the number of whole shares to be issued;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w:t>
      </w:r>
    </w:p>
    <w:p>
      <w:pPr>
        <w:spacing w:after="0" w:line="159" w:lineRule="exact"/>
        <w:rPr>
          <w:rFonts w:ascii="Times New Roman" w:cs="Times New Roman" w:eastAsia="Times New Roman" w:hAnsi="Times New Roman"/>
          <w:sz w:val="22"/>
          <w:szCs w:val="22"/>
          <w:color w:val="auto"/>
        </w:rPr>
      </w:pPr>
    </w:p>
    <w:p>
      <w:pPr>
        <w:jc w:val="both"/>
        <w:ind w:firstLine="1734"/>
        <w:spacing w:after="0" w:line="231" w:lineRule="auto"/>
        <w:tabs>
          <w:tab w:leader="none" w:pos="2626"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according to a deferred payment or similar arrangement with the Optionholder;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interest shall compound at least annually and shall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64" w:lineRule="exact"/>
        <w:rPr>
          <w:rFonts w:ascii="Times New Roman" w:cs="Times New Roman" w:eastAsia="Times New Roman" w:hAnsi="Times New Roman"/>
          <w:sz w:val="22"/>
          <w:szCs w:val="22"/>
          <w:color w:val="auto"/>
        </w:rPr>
      </w:pPr>
    </w:p>
    <w:p>
      <w:pPr>
        <w:ind w:left="2700" w:hanging="966"/>
        <w:spacing w:after="0"/>
        <w:tabs>
          <w:tab w:leader="none" w:pos="270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form of legal consideration that may be acceptable to the Board.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70" w:name="page271"/>
    <w:bookmarkEnd w:id="270"/>
    <w:p>
      <w:pPr>
        <w:jc w:val="both"/>
        <w:ind w:firstLine="872"/>
        <w:spacing w:after="0" w:line="222" w:lineRule="auto"/>
        <w:tabs>
          <w:tab w:leader="none" w:pos="169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and Payment of a SAR</w:t>
      </w:r>
      <w:r>
        <w:rPr>
          <w:rFonts w:ascii="Times New Roman" w:cs="Times New Roman" w:eastAsia="Times New Roman" w:hAnsi="Times New Roman"/>
          <w:sz w:val="22"/>
          <w:szCs w:val="22"/>
          <w:color w:val="auto"/>
        </w:rPr>
        <w:t>. To exercise any outstanding Stock Appreciation Right,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must provide written notice of 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shares of Common Stock equal to the number of Common Stock equivalents in which the Participant is vested under such Stock Appreciation Right, and with respect to which the Participant is exercising the Stock Appreciation Right on such date, over (B) the strike price that will be determined by the Board at the time of grant of the Stock Appreciation Right. The appreciation distribution in respect to a Stock Appreciation Right may be paid in Common </w:t>
      </w:r>
      <w:r>
        <w:rPr>
          <w:rFonts w:ascii="Times New Roman" w:cs="Times New Roman" w:eastAsia="Times New Roman" w:hAnsi="Times New Roman"/>
          <w:sz w:val="19"/>
          <w:szCs w:val="19"/>
          <w:color w:val="auto"/>
        </w:rPr>
        <w:t>Stock, in cash, in any combination of the two or in any other form of consideration, as determined by the Board and contained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Stock Appreciation Right Agreement evidencing such Stock Appreciation Right.</w:t>
      </w:r>
    </w:p>
    <w:p>
      <w:pPr>
        <w:spacing w:after="0" w:line="184" w:lineRule="exact"/>
        <w:rPr>
          <w:rFonts w:ascii="Times New Roman" w:cs="Times New Roman" w:eastAsia="Times New Roman" w:hAnsi="Times New Roman"/>
          <w:sz w:val="22"/>
          <w:szCs w:val="22"/>
          <w:color w:val="auto"/>
        </w:rPr>
      </w:pPr>
    </w:p>
    <w:p>
      <w:pPr>
        <w:jc w:val="both"/>
        <w:ind w:right="20" w:firstLine="872"/>
        <w:spacing w:after="0" w:line="235" w:lineRule="auto"/>
        <w:tabs>
          <w:tab w:leader="none" w:pos="167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Transferability of Options and SARs</w:t>
      </w:r>
      <w:r>
        <w:rPr>
          <w:rFonts w:ascii="Times New Roman" w:cs="Times New Roman" w:eastAsia="Times New Roman" w:hAnsi="Times New Roman"/>
          <w:sz w:val="22"/>
          <w:szCs w:val="22"/>
          <w:color w:val="auto"/>
        </w:rPr>
        <w:t>. The Board may, in its sole discretion, impose such limitations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transferability of Options and SARs as the Board shall determine. In the absence of such a determination by the Board to the contrary, the fo11owing restrictions on the transferability of Options and SARs shall apply:</w:t>
      </w:r>
    </w:p>
    <w:p>
      <w:pPr>
        <w:spacing w:after="0" w:line="161" w:lineRule="exact"/>
        <w:rPr>
          <w:rFonts w:ascii="Times New Roman" w:cs="Times New Roman" w:eastAsia="Times New Roman" w:hAnsi="Times New Roman"/>
          <w:sz w:val="22"/>
          <w:szCs w:val="22"/>
          <w:color w:val="auto"/>
        </w:rPr>
      </w:pPr>
    </w:p>
    <w:p>
      <w:pPr>
        <w:jc w:val="both"/>
        <w:ind w:firstLine="1734"/>
        <w:spacing w:after="0" w:line="231" w:lineRule="auto"/>
        <w:tabs>
          <w:tab w:leader="none" w:pos="2578"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on Transfer</w:t>
      </w:r>
      <w:r>
        <w:rPr>
          <w:rFonts w:ascii="Times New Roman" w:cs="Times New Roman" w:eastAsia="Times New Roman" w:hAnsi="Times New Roman"/>
          <w:sz w:val="22"/>
          <w:szCs w:val="22"/>
          <w:color w:val="auto"/>
        </w:rPr>
        <w:t>. An Option or SAR shall not be transferable except by will or by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descent and distribution and shall be exercisable during the lifetime of the Participant only by the Participant;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Board may, in its sole discretion, permit transfer of the Option or SAR to such extent as permitted by Rule 701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in a manner consistent with applicable tax and securities laws upon the Participant’s request.</w:t>
      </w:r>
    </w:p>
    <w:p>
      <w:pPr>
        <w:spacing w:after="0" w:line="160" w:lineRule="exact"/>
        <w:rPr>
          <w:rFonts w:ascii="Times New Roman" w:cs="Times New Roman" w:eastAsia="Times New Roman" w:hAnsi="Times New Roman"/>
          <w:sz w:val="22"/>
          <w:szCs w:val="22"/>
          <w:color w:val="auto"/>
        </w:rPr>
      </w:pPr>
    </w:p>
    <w:p>
      <w:pPr>
        <w:jc w:val="both"/>
        <w:ind w:firstLine="1734"/>
        <w:spacing w:after="0" w:line="235" w:lineRule="auto"/>
        <w:tabs>
          <w:tab w:leader="none" w:pos="2638"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Domestic Relations Orders</w:t>
      </w:r>
      <w:r>
        <w:rPr>
          <w:rFonts w:ascii="Times New Roman" w:cs="Times New Roman" w:eastAsia="Times New Roman" w:hAnsi="Times New Roman"/>
          <w:sz w:val="22"/>
          <w:szCs w:val="22"/>
          <w:color w:val="auto"/>
        </w:rPr>
        <w:t>. Notwithstanding the foregoing, an Option or SAR may be transferred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a domestic relations order;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an Option is an Incentive Stock Option, such Option may be deemed to be a Nonstatutory Stock Option as a result of such transfer.</w:t>
      </w:r>
    </w:p>
    <w:p>
      <w:pPr>
        <w:spacing w:after="0" w:line="161" w:lineRule="exact"/>
        <w:rPr>
          <w:rFonts w:ascii="Times New Roman" w:cs="Times New Roman" w:eastAsia="Times New Roman" w:hAnsi="Times New Roman"/>
          <w:sz w:val="22"/>
          <w:szCs w:val="22"/>
          <w:color w:val="auto"/>
        </w:rPr>
      </w:pPr>
    </w:p>
    <w:p>
      <w:pPr>
        <w:jc w:val="both"/>
        <w:ind w:firstLine="1734"/>
        <w:spacing w:after="0" w:line="226" w:lineRule="auto"/>
        <w:tabs>
          <w:tab w:leader="none" w:pos="2698"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Beneficiary Designation</w:t>
      </w:r>
      <w:r>
        <w:rPr>
          <w:rFonts w:ascii="Times New Roman" w:cs="Times New Roman" w:eastAsia="Times New Roman" w:hAnsi="Times New Roman"/>
          <w:sz w:val="22"/>
          <w:szCs w:val="22"/>
          <w:color w:val="auto"/>
        </w:rPr>
        <w:t>. Notwithstanding the foregoing, the Participant may, by delivering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notice to the Company, in a form 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spacing w:after="0" w:line="163" w:lineRule="exact"/>
        <w:rPr>
          <w:rFonts w:ascii="Times New Roman" w:cs="Times New Roman" w:eastAsia="Times New Roman" w:hAnsi="Times New Roman"/>
          <w:sz w:val="22"/>
          <w:szCs w:val="22"/>
          <w:color w:val="auto"/>
        </w:rPr>
      </w:pPr>
    </w:p>
    <w:p>
      <w:pPr>
        <w:jc w:val="both"/>
        <w:ind w:firstLine="872"/>
        <w:spacing w:after="0" w:line="226" w:lineRule="auto"/>
        <w:tabs>
          <w:tab w:leader="none" w:pos="165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Generally</w:t>
      </w:r>
      <w:r>
        <w:rPr>
          <w:rFonts w:ascii="Times New Roman" w:cs="Times New Roman" w:eastAsia="Times New Roman" w:hAnsi="Times New Roman"/>
          <w:sz w:val="22"/>
          <w:szCs w:val="22"/>
          <w:color w:val="auto"/>
        </w:rPr>
        <w:t>. The total number of shares of Common Stock subject to an Option or SAR may vest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71" w:name="page272"/>
    <w:bookmarkEnd w:id="271"/>
    <w:p>
      <w:pPr>
        <w:jc w:val="both"/>
        <w:ind w:firstLine="872"/>
        <w:spacing w:after="0" w:line="223" w:lineRule="auto"/>
        <w:tabs>
          <w:tab w:leader="none" w:pos="169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Continuous Service</w:t>
      </w:r>
      <w:r>
        <w:rPr>
          <w:rFonts w:ascii="Times New Roman" w:cs="Times New Roman" w:eastAsia="Times New Roman" w:hAnsi="Times New Roman"/>
          <w:sz w:val="22"/>
          <w:szCs w:val="22"/>
          <w:color w:val="auto"/>
        </w:rPr>
        <w:t>. Except as otherwise provided in the applicable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 agreement between the Participant and the Company, in the event that a Participant’s Continuous Service terminates (other than for Cause or upon the Participant’s death or Disability), the Participant may exercise his or her Option or SAR (to the extent that the Participant was entitled to exercise such Stock Award as of the date of termination of Continuous Service) but only within such period of time ending on the earlier of (i) the date three (3) months following the termination of the Participant’s Continuous Service (or such longer or shorter period specified in the Stock Award Agreement, which period shall not be less than thirty (30) days if necessary to comply with applicable state laws unless such termination is for Cause)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160" w:lineRule="exact"/>
        <w:rPr>
          <w:rFonts w:ascii="Times New Roman" w:cs="Times New Roman" w:eastAsia="Times New Roman" w:hAnsi="Times New Roman"/>
          <w:sz w:val="22"/>
          <w:szCs w:val="22"/>
          <w:color w:val="auto"/>
        </w:rPr>
      </w:pPr>
    </w:p>
    <w:p>
      <w:pPr>
        <w:jc w:val="both"/>
        <w:ind w:firstLine="872"/>
        <w:spacing w:after="0" w:line="221" w:lineRule="auto"/>
        <w:tabs>
          <w:tab w:leader="none" w:pos="176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Extension of Termination Date</w:t>
      </w:r>
      <w:r>
        <w:rPr>
          <w:rFonts w:ascii="Times New Roman" w:cs="Times New Roman" w:eastAsia="Times New Roman" w:hAnsi="Times New Roman"/>
          <w:sz w:val="22"/>
          <w:szCs w:val="22"/>
          <w:color w:val="auto"/>
        </w:rPr>
        <w:t>. Except as otherwise provided in the applicable Stock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 agreement between the Participant and the Company, if the exercise of an Option or SAR following the termination of the Participant’s 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 (i) the expiration of a period of three (3) months after the termination of the Participant’s Continuous Service during which the exercise of the Option or SAR would not be in violation of such registration requirements, or (ii) the expiration of the term of the Option or SAR as set forth in the Stock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exercise of the Option or SAR would not be in violation of the Company’s insider trading policy, or (ii) the expiration of the term of the Option or SAR as set forth in the applicable Stock Award Agreement.</w:t>
      </w:r>
    </w:p>
    <w:p>
      <w:pPr>
        <w:spacing w:after="0" w:line="171" w:lineRule="exact"/>
        <w:rPr>
          <w:rFonts w:ascii="Times New Roman" w:cs="Times New Roman" w:eastAsia="Times New Roman" w:hAnsi="Times New Roman"/>
          <w:sz w:val="22"/>
          <w:szCs w:val="22"/>
          <w:color w:val="auto"/>
        </w:rPr>
      </w:pPr>
    </w:p>
    <w:p>
      <w:pPr>
        <w:jc w:val="both"/>
        <w:ind w:firstLine="872"/>
        <w:spacing w:after="0" w:line="223" w:lineRule="auto"/>
        <w:tabs>
          <w:tab w:leader="none" w:pos="171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 of Participant</w:t>
      </w:r>
      <w:r>
        <w:rPr>
          <w:rFonts w:ascii="Times New Roman" w:cs="Times New Roman" w:eastAsia="Times New Roman" w:hAnsi="Times New Roman"/>
          <w:sz w:val="22"/>
          <w:szCs w:val="22"/>
          <w:color w:val="auto"/>
        </w:rPr>
        <w:t>. Except as otherwise provided in the applicable Stock Award Agreement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the Participant and the Company, in the event that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which period shall not be less than six (6) months if necessary to comply with applicable state laws),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72" w:name="page273"/>
    <w:bookmarkEnd w:id="272"/>
    <w:p>
      <w:pPr>
        <w:jc w:val="both"/>
        <w:ind w:firstLine="872"/>
        <w:spacing w:after="0" w:line="232" w:lineRule="auto"/>
        <w:tabs>
          <w:tab w:leader="none" w:pos="1718"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Death of Participant</w:t>
      </w:r>
      <w:r>
        <w:rPr>
          <w:rFonts w:ascii="Times New Roman" w:cs="Times New Roman" w:eastAsia="Times New Roman" w:hAnsi="Times New Roman"/>
          <w:sz w:val="21"/>
          <w:szCs w:val="21"/>
          <w:color w:val="auto"/>
        </w:rPr>
        <w:t>. Except as otherwise provided in the applicable Stock Award Agreement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the Participant and the Company, in the event that (i) a Participant’s Continuous Service terminates as a result of the Participant’s death, or (ii) the Participant dies within the period (if any) specified in the Stock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w:t>
      </w:r>
    </w:p>
    <w:p>
      <w:pPr>
        <w:jc w:val="both"/>
        <w:ind w:firstLine="8"/>
        <w:spacing w:after="0" w:line="224" w:lineRule="auto"/>
        <w:tabs>
          <w:tab w:leader="none" w:pos="44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date of death (or such longer or shorter period, specified in the Stock Award Agreement, which period shall not be less than six (6) months if necessary to comply with applicable state laws), or (ii) the expiration of the term of such Option or SAR as set forth in the Stock Award Agreement. If, after the Participant’s death, the Option or SAR is not exercised within the time specified herein or in the Stock Award Agreement (as applicable), the Option or SAR shall terminate.</w:t>
      </w:r>
    </w:p>
    <w:p>
      <w:pPr>
        <w:spacing w:after="0" w:line="161" w:lineRule="exact"/>
        <w:rPr>
          <w:rFonts w:ascii="Times New Roman" w:cs="Times New Roman" w:eastAsia="Times New Roman" w:hAnsi="Times New Roman"/>
          <w:sz w:val="22"/>
          <w:szCs w:val="22"/>
          <w:color w:val="auto"/>
        </w:rPr>
      </w:pPr>
    </w:p>
    <w:p>
      <w:pPr>
        <w:jc w:val="both"/>
        <w:ind w:firstLine="872"/>
        <w:spacing w:after="0" w:line="231" w:lineRule="auto"/>
        <w:tabs>
          <w:tab w:leader="none" w:pos="176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for Cause</w:t>
      </w:r>
      <w:r>
        <w:rPr>
          <w:rFonts w:ascii="Times New Roman" w:cs="Times New Roman" w:eastAsia="Times New Roman" w:hAnsi="Times New Roman"/>
          <w:sz w:val="22"/>
          <w:szCs w:val="22"/>
          <w:color w:val="auto"/>
        </w:rPr>
        <w:t>. Except as explicitly provided otherwise in a Participant’s Stock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Participant’s Continuous Service is terminated for Cause, the Option or SAR shall terminate upon the termination date of such Participant’s Continuous Service, and the Participant shall be prohibited from exercising his or her Option or SAR from and after the time of such termination of Continuous Service.</w:t>
      </w:r>
    </w:p>
    <w:p>
      <w:pPr>
        <w:spacing w:after="0" w:line="160" w:lineRule="exact"/>
        <w:rPr>
          <w:rFonts w:ascii="Times New Roman" w:cs="Times New Roman" w:eastAsia="Times New Roman" w:hAnsi="Times New Roman"/>
          <w:sz w:val="22"/>
          <w:szCs w:val="22"/>
          <w:color w:val="auto"/>
        </w:rPr>
      </w:pPr>
    </w:p>
    <w:p>
      <w:pPr>
        <w:jc w:val="both"/>
        <w:ind w:firstLine="872"/>
        <w:spacing w:after="0" w:line="223" w:lineRule="auto"/>
        <w:tabs>
          <w:tab w:leader="none" w:pos="1715"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Non-Exempt Employees</w:t>
      </w:r>
      <w:r>
        <w:rPr>
          <w:rFonts w:ascii="Times New Roman" w:cs="Times New Roman" w:eastAsia="Times New Roman" w:hAnsi="Times New Roman"/>
          <w:sz w:val="22"/>
          <w:szCs w:val="22"/>
          <w:color w:val="auto"/>
        </w:rPr>
        <w:t>. No Option or SAR granted to an Employee who is a non-exempt employee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of the Fair Labor Standards Act of 1938, as amended, shall be first exercisable for any shares of Common Stock until at least six months following the date of grant of the Option or SAR. Notwithstanding the foregoing, consistent with the provisions of the Worker Economic Opportunity Act, in the event of the Participant’s death or Disability, upon a Corporate Transaction or a Change in Control in which the vesting of such Options or SARs accelerates, or upon the Participant’s retirement (as such term may be defined in the Participant’s Stock Award Agreement or in another applicable agreement or in accordance with the Company’s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160" w:lineRule="exact"/>
        <w:rPr>
          <w:rFonts w:ascii="Times New Roman" w:cs="Times New Roman" w:eastAsia="Times New Roman" w:hAnsi="Times New Roman"/>
          <w:sz w:val="22"/>
          <w:szCs w:val="22"/>
          <w:color w:val="auto"/>
        </w:rPr>
      </w:pPr>
    </w:p>
    <w:p>
      <w:pPr>
        <w:jc w:val="both"/>
        <w:ind w:firstLine="872"/>
        <w:spacing w:after="0" w:line="235" w:lineRule="auto"/>
        <w:tabs>
          <w:tab w:leader="none" w:pos="1823"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Early Exercise of Options</w:t>
      </w:r>
      <w:r>
        <w:rPr>
          <w:rFonts w:ascii="Times New Roman" w:cs="Times New Roman" w:eastAsia="Times New Roman" w:hAnsi="Times New Roman"/>
          <w:sz w:val="21"/>
          <w:szCs w:val="21"/>
          <w:color w:val="auto"/>
        </w:rPr>
        <w:t>. An Option may, but need not, include a provision whereby the Optionholder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elect at any time before the Optionholder’s Continuous Service terminates to exercise the Option as to any part or all of the shares of Common Stock subject to the Option prior to the full vesting of the Option. Subject to the “Repurchase Limitation” in Section 8(1), any unvested shares of Common Stock so purchased may be subject to a repurchase right in favor of the Company or to any other restriction the Board determines to be appropriate. Provided that the “Repurchase Limitation” in Section 8(1) is not violated, the Company shall not be required to exercise its repurchase right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73" w:name="page274"/>
    <w:bookmarkEnd w:id="273"/>
    <w:p>
      <w:pPr>
        <w:jc w:val="both"/>
        <w:ind w:firstLine="872"/>
        <w:spacing w:after="0" w:line="235" w:lineRule="auto"/>
        <w:tabs>
          <w:tab w:leader="none" w:pos="1763"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of Repurchase</w:t>
      </w:r>
      <w:r>
        <w:rPr>
          <w:rFonts w:ascii="Times New Roman" w:cs="Times New Roman" w:eastAsia="Times New Roman" w:hAnsi="Times New Roman"/>
          <w:sz w:val="22"/>
          <w:szCs w:val="22"/>
          <w:color w:val="auto"/>
        </w:rPr>
        <w:t>. Subject to the “Repurchase Limitation” in Section 8(1), the Option or SAR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a provision whereby the Company may elect to repurchase all or any part of the vested shares of Common Stock acquired by the Participant pursuant to the exercise of the Option or SAR.</w:t>
      </w:r>
    </w:p>
    <w:p>
      <w:pPr>
        <w:spacing w:after="0" w:line="161" w:lineRule="exact"/>
        <w:rPr>
          <w:rFonts w:ascii="Times New Roman" w:cs="Times New Roman" w:eastAsia="Times New Roman" w:hAnsi="Times New Roman"/>
          <w:sz w:val="22"/>
          <w:szCs w:val="22"/>
          <w:color w:val="auto"/>
        </w:rPr>
      </w:pPr>
    </w:p>
    <w:p>
      <w:pPr>
        <w:jc w:val="both"/>
        <w:ind w:firstLine="872"/>
        <w:spacing w:after="0" w:line="228" w:lineRule="auto"/>
        <w:tabs>
          <w:tab w:leader="none" w:pos="1763"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of First Refusal</w:t>
      </w:r>
      <w:r>
        <w:rPr>
          <w:rFonts w:ascii="Times New Roman" w:cs="Times New Roman" w:eastAsia="Times New Roman" w:hAnsi="Times New Roman"/>
          <w:sz w:val="22"/>
          <w:szCs w:val="22"/>
          <w:color w:val="auto"/>
        </w:rPr>
        <w:t>. The Option or SAR may include a provision whereby the Company may elect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a right of first refusal following receipt of notice from the Participant of the intent to transfer all or any part of the shares of Common Stock received upon the exercise of the Option or SAR. Such right of first refusal shall be subject to the “Repurchase Limitation” in Section 8(1). Except as expressly provided in this Section 5(o) or in the Stock Award Agreement, such right of first refusal shall otherwise comply with any applicable provisions of the Bylaws of the Company.</w:t>
      </w:r>
    </w:p>
    <w:p>
      <w:pPr>
        <w:spacing w:after="0" w:line="161"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PROVISIONS OF RESTRICTED STOCK AWARDS AND RESTRICTED STOCK UNITS.</w:t>
      </w:r>
    </w:p>
    <w:p>
      <w:pPr>
        <w:spacing w:after="0" w:line="192" w:lineRule="exact"/>
        <w:rPr>
          <w:rFonts w:ascii="Times New Roman" w:cs="Times New Roman" w:eastAsia="Times New Roman" w:hAnsi="Times New Roman"/>
          <w:sz w:val="22"/>
          <w:szCs w:val="22"/>
          <w:b w:val="1"/>
          <w:bCs w:val="1"/>
          <w:color w:val="auto"/>
        </w:rPr>
      </w:pPr>
    </w:p>
    <w:p>
      <w:pPr>
        <w:jc w:val="both"/>
        <w:ind w:firstLine="872"/>
        <w:spacing w:after="0" w:line="224" w:lineRule="auto"/>
        <w:tabs>
          <w:tab w:leader="none" w:pos="175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Awards</w:t>
      </w:r>
      <w:r>
        <w:rPr>
          <w:rFonts w:ascii="Times New Roman" w:cs="Times New Roman" w:eastAsia="Times New Roman" w:hAnsi="Times New Roman"/>
          <w:sz w:val="22"/>
          <w:szCs w:val="22"/>
          <w:color w:val="auto"/>
        </w:rPr>
        <w:t>. Each Restricted Stock Award Agreement shall be in such form and shall contain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and conditions as the 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provided, however, that each Restricted Stock Award Agreement shall conform to (through incorporation of the provisions hereof by reference in the agreement or otherwise) the substance of each of the following provisions:</w:t>
      </w:r>
    </w:p>
    <w:p>
      <w:pPr>
        <w:spacing w:after="0" w:line="163" w:lineRule="exact"/>
        <w:rPr>
          <w:rFonts w:ascii="Times New Roman" w:cs="Times New Roman" w:eastAsia="Times New Roman" w:hAnsi="Times New Roman"/>
          <w:sz w:val="22"/>
          <w:szCs w:val="22"/>
          <w:color w:val="auto"/>
        </w:rPr>
      </w:pPr>
    </w:p>
    <w:p>
      <w:pPr>
        <w:jc w:val="both"/>
        <w:ind w:firstLine="1734"/>
        <w:spacing w:after="0" w:line="235" w:lineRule="auto"/>
        <w:tabs>
          <w:tab w:leader="none" w:pos="2578"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Consideration</w:t>
      </w:r>
      <w:r>
        <w:rPr>
          <w:rFonts w:ascii="Times New Roman" w:cs="Times New Roman" w:eastAsia="Times New Roman" w:hAnsi="Times New Roman"/>
          <w:sz w:val="22"/>
          <w:szCs w:val="22"/>
          <w:color w:val="auto"/>
        </w:rPr>
        <w:t>. A Restricted Stock Award may be awarded in consideration for (A) cash or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(B) past or future services actually or to be rendered to the Company or an Affiliate, or (C) any other form of legal consideration that may be acceptable to the Board in its sole discretion and permissible under applicable law.</w:t>
      </w:r>
    </w:p>
    <w:p>
      <w:pPr>
        <w:spacing w:after="0" w:line="161" w:lineRule="exact"/>
        <w:rPr>
          <w:rFonts w:ascii="Times New Roman" w:cs="Times New Roman" w:eastAsia="Times New Roman" w:hAnsi="Times New Roman"/>
          <w:sz w:val="22"/>
          <w:szCs w:val="22"/>
          <w:color w:val="auto"/>
        </w:rPr>
      </w:pPr>
    </w:p>
    <w:p>
      <w:pPr>
        <w:jc w:val="both"/>
        <w:ind w:firstLine="1734"/>
        <w:spacing w:after="0" w:line="235" w:lineRule="auto"/>
        <w:tabs>
          <w:tab w:leader="none" w:pos="2638"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Subject to the “Repurchase Limitation” in Section 8(1),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awarded under the Restricted Stock Award Agreement may be subject to forfeiture to the Company in accordance with a vesting schedule to be determined by the Board.</w:t>
      </w:r>
    </w:p>
    <w:p>
      <w:pPr>
        <w:spacing w:after="0" w:line="161" w:lineRule="exact"/>
        <w:rPr>
          <w:rFonts w:ascii="Times New Roman" w:cs="Times New Roman" w:eastAsia="Times New Roman" w:hAnsi="Times New Roman"/>
          <w:sz w:val="22"/>
          <w:szCs w:val="22"/>
          <w:color w:val="auto"/>
        </w:rPr>
      </w:pPr>
    </w:p>
    <w:p>
      <w:pPr>
        <w:jc w:val="both"/>
        <w:ind w:firstLine="1734"/>
        <w:spacing w:after="0" w:line="231" w:lineRule="auto"/>
        <w:tabs>
          <w:tab w:leader="none" w:pos="2698"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Participant’s Continuous Service</w:t>
      </w:r>
      <w:r>
        <w:rPr>
          <w:rFonts w:ascii="Times New Roman" w:cs="Times New Roman" w:eastAsia="Times New Roman" w:hAnsi="Times New Roman"/>
          <w:sz w:val="22"/>
          <w:szCs w:val="22"/>
          <w:color w:val="auto"/>
        </w:rPr>
        <w:t>. If a Participant’s Continuous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74" w:name="page275"/>
    <w:bookmarkEnd w:id="274"/>
    <w:p>
      <w:pPr>
        <w:jc w:val="both"/>
        <w:ind w:firstLine="1734"/>
        <w:spacing w:after="0" w:line="231" w:lineRule="auto"/>
        <w:tabs>
          <w:tab w:leader="none" w:pos="2686"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Rights to acquire shares of Common Stock under the Restricted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transferable by the Participant only upon such terms and conditions as are set forth in the Restricted Stock Award Agreement, as the Board shall determine in its sole discretion, so long as Common Stock awarded under the Restricted Stock Award Agreement remains subject to the terms of the Restricted Stock Award Agreement.</w:t>
      </w:r>
    </w:p>
    <w:p>
      <w:pPr>
        <w:spacing w:after="0" w:line="160" w:lineRule="exact"/>
        <w:rPr>
          <w:rFonts w:ascii="Times New Roman" w:cs="Times New Roman" w:eastAsia="Times New Roman" w:hAnsi="Times New Roman"/>
          <w:sz w:val="22"/>
          <w:szCs w:val="22"/>
          <w:color w:val="auto"/>
        </w:rPr>
      </w:pPr>
    </w:p>
    <w:p>
      <w:pPr>
        <w:jc w:val="both"/>
        <w:ind w:firstLine="1734"/>
        <w:spacing w:after="0" w:line="235" w:lineRule="auto"/>
        <w:tabs>
          <w:tab w:leader="none" w:pos="2626"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A Restricted Stock Award Agreement may provide that any dividends paid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will be subject to the same vesting and forfeiture restrictions as apply to the shares subject to the Restricted Stock Award to which they relate.</w:t>
      </w:r>
    </w:p>
    <w:p>
      <w:pPr>
        <w:spacing w:after="0" w:line="161" w:lineRule="exact"/>
        <w:rPr>
          <w:rFonts w:ascii="Times New Roman" w:cs="Times New Roman" w:eastAsia="Times New Roman" w:hAnsi="Times New Roman"/>
          <w:sz w:val="22"/>
          <w:szCs w:val="22"/>
          <w:color w:val="auto"/>
        </w:rPr>
      </w:pPr>
    </w:p>
    <w:p>
      <w:pPr>
        <w:jc w:val="both"/>
        <w:ind w:firstLine="872"/>
        <w:spacing w:after="0" w:line="226" w:lineRule="auto"/>
        <w:tabs>
          <w:tab w:leader="none" w:pos="176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Unit Awards</w:t>
      </w:r>
      <w:r>
        <w:rPr>
          <w:rFonts w:ascii="Times New Roman" w:cs="Times New Roman" w:eastAsia="Times New Roman" w:hAnsi="Times New Roman"/>
          <w:sz w:val="22"/>
          <w:szCs w:val="22"/>
          <w:color w:val="auto"/>
        </w:rPr>
        <w:t>. Each Restricted Stock Unit Award Agreement shall be in such form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contain such terms and. conditions as the Board shall deem appropriate. The terms and conditions of Restricted Stock Unit Award Agreements may change from time to time, and the terms and conditions of separate Restricted Stock Unit Award Agreements need not be identical,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Restricted Stock Unit Award Agreement shall conform to (through incorporation of the provisions hereof by reference in the Agreement or otherwise) the substance of each of the following provisions:</w:t>
      </w:r>
    </w:p>
    <w:p>
      <w:pPr>
        <w:spacing w:after="0" w:line="163" w:lineRule="exact"/>
        <w:rPr>
          <w:rFonts w:ascii="Times New Roman" w:cs="Times New Roman" w:eastAsia="Times New Roman" w:hAnsi="Times New Roman"/>
          <w:sz w:val="22"/>
          <w:szCs w:val="22"/>
          <w:color w:val="auto"/>
        </w:rPr>
      </w:pPr>
    </w:p>
    <w:p>
      <w:pPr>
        <w:jc w:val="both"/>
        <w:ind w:firstLine="1734"/>
        <w:spacing w:after="0" w:line="228" w:lineRule="auto"/>
        <w:tabs>
          <w:tab w:leader="none" w:pos="257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Consideration</w:t>
      </w:r>
      <w:r>
        <w:rPr>
          <w:rFonts w:ascii="Times New Roman" w:cs="Times New Roman" w:eastAsia="Times New Roman" w:hAnsi="Times New Roman"/>
          <w:sz w:val="22"/>
          <w:szCs w:val="22"/>
          <w:color w:val="auto"/>
        </w:rPr>
        <w:t>. At the time of grant of a Restricted Stock Unit Award, the Board will determine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61" w:lineRule="exact"/>
        <w:rPr>
          <w:rFonts w:ascii="Times New Roman" w:cs="Times New Roman" w:eastAsia="Times New Roman" w:hAnsi="Times New Roman"/>
          <w:sz w:val="22"/>
          <w:szCs w:val="22"/>
          <w:color w:val="auto"/>
        </w:rPr>
      </w:pPr>
    </w:p>
    <w:p>
      <w:pPr>
        <w:ind w:right="20" w:firstLine="1734"/>
        <w:spacing w:after="0" w:line="249" w:lineRule="auto"/>
        <w:tabs>
          <w:tab w:leader="none" w:pos="263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At the time of the grant of a Restricted Stock Unit Award, the Board may impose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or conditions to the vesting of the Restricted Stock Unit Award as it, in its sole discretion, deems appropriate.</w:t>
      </w:r>
    </w:p>
    <w:p>
      <w:pPr>
        <w:spacing w:after="0" w:line="150" w:lineRule="exact"/>
        <w:rPr>
          <w:rFonts w:ascii="Times New Roman" w:cs="Times New Roman" w:eastAsia="Times New Roman" w:hAnsi="Times New Roman"/>
          <w:sz w:val="22"/>
          <w:szCs w:val="22"/>
          <w:color w:val="auto"/>
        </w:rPr>
      </w:pPr>
    </w:p>
    <w:p>
      <w:pPr>
        <w:jc w:val="both"/>
        <w:ind w:firstLine="1734"/>
        <w:spacing w:after="0" w:line="235" w:lineRule="auto"/>
        <w:tabs>
          <w:tab w:leader="none" w:pos="269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 Restricted Stock Unit Award may be settled by the delivery of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their cash equivalent, any combination thereof or in any other form of consideration, as determined by the Board and contained in the Restricted Stock Unit Award Agreement.</w:t>
      </w:r>
    </w:p>
    <w:p>
      <w:pPr>
        <w:spacing w:after="0" w:line="161" w:lineRule="exact"/>
        <w:rPr>
          <w:rFonts w:ascii="Times New Roman" w:cs="Times New Roman" w:eastAsia="Times New Roman" w:hAnsi="Times New Roman"/>
          <w:sz w:val="22"/>
          <w:szCs w:val="22"/>
          <w:color w:val="auto"/>
        </w:rPr>
      </w:pPr>
    </w:p>
    <w:p>
      <w:pPr>
        <w:jc w:val="both"/>
        <w:ind w:firstLine="1734"/>
        <w:spacing w:after="0" w:line="235" w:lineRule="auto"/>
        <w:tabs>
          <w:tab w:leader="none" w:pos="2686"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Restrictions</w:t>
      </w:r>
      <w:r>
        <w:rPr>
          <w:rFonts w:ascii="Times New Roman" w:cs="Times New Roman" w:eastAsia="Times New Roman" w:hAnsi="Times New Roman"/>
          <w:sz w:val="22"/>
          <w:szCs w:val="22"/>
          <w:color w:val="auto"/>
        </w:rPr>
        <w:t>. At the time of the grant of a Restricted Stock Unit Award, the Board,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161" w:lineRule="exact"/>
        <w:rPr>
          <w:rFonts w:ascii="Times New Roman" w:cs="Times New Roman" w:eastAsia="Times New Roman" w:hAnsi="Times New Roman"/>
          <w:sz w:val="22"/>
          <w:szCs w:val="22"/>
          <w:color w:val="auto"/>
        </w:rPr>
      </w:pPr>
    </w:p>
    <w:p>
      <w:pPr>
        <w:jc w:val="both"/>
        <w:ind w:firstLine="1734"/>
        <w:spacing w:after="0" w:line="226" w:lineRule="auto"/>
        <w:tabs>
          <w:tab w:leader="none" w:pos="2626"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Dividend equivalents may be credited in respect of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75" w:name="page276"/>
    <w:bookmarkEnd w:id="275"/>
    <w:p>
      <w:pPr>
        <w:jc w:val="both"/>
        <w:ind w:firstLine="1734"/>
        <w:spacing w:after="0" w:line="235" w:lineRule="auto"/>
        <w:tabs>
          <w:tab w:leader="none" w:pos="2686" w:val="left"/>
        </w:tabs>
        <w:numPr>
          <w:ilvl w:val="2"/>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Participant’s Continuous Service</w:t>
      </w:r>
      <w:r>
        <w:rPr>
          <w:rFonts w:ascii="Times New Roman" w:cs="Times New Roman" w:eastAsia="Times New Roman" w:hAnsi="Times New Roman"/>
          <w:sz w:val="22"/>
          <w:szCs w:val="22"/>
          <w:color w:val="auto"/>
        </w:rPr>
        <w:t>. Except as otherwise provided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Restricted Stock Unit Award Agreement, such portion of the Restricted Stock Unit Award that has not vested will be forfeited upon the Participant’s termination of Continuous Service.</w:t>
      </w:r>
    </w:p>
    <w:p>
      <w:pPr>
        <w:spacing w:after="0" w:line="161" w:lineRule="exact"/>
        <w:rPr>
          <w:rFonts w:ascii="Times New Roman" w:cs="Times New Roman" w:eastAsia="Times New Roman" w:hAnsi="Times New Roman"/>
          <w:sz w:val="22"/>
          <w:szCs w:val="22"/>
          <w:color w:val="auto"/>
        </w:rPr>
      </w:pPr>
    </w:p>
    <w:p>
      <w:pPr>
        <w:jc w:val="both"/>
        <w:ind w:firstLine="1734"/>
        <w:spacing w:after="0" w:line="225" w:lineRule="auto"/>
        <w:tabs>
          <w:tab w:leader="none" w:pos="2746" w:val="left"/>
        </w:tabs>
        <w:numPr>
          <w:ilvl w:val="2"/>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Section 409A of the Code</w:t>
      </w:r>
      <w:r>
        <w:rPr>
          <w:rFonts w:ascii="Times New Roman" w:cs="Times New Roman" w:eastAsia="Times New Roman" w:hAnsi="Times New Roman"/>
          <w:sz w:val="22"/>
          <w:szCs w:val="22"/>
          <w:color w:val="auto"/>
        </w:rPr>
        <w:t>. Notwithstanding anything to the contrary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any Restricted Stock Unit Award granted under the Plan that is not exempt from the requirements of Section 409A of the Code shall contain such provisions so that such Restricted Stock Unit Award will comply with the requirell1ents of Section 409A of the Code. Such restrictions, if any, shall be determined by the Board and contained in the Restricted Stock Unit Award Agreement evidencing such Restricted Stock Unit Award. .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62"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OF THE COMPANY.</w:t>
      </w:r>
    </w:p>
    <w:p>
      <w:pPr>
        <w:spacing w:after="0" w:line="192" w:lineRule="exact"/>
        <w:rPr>
          <w:rFonts w:ascii="Times New Roman" w:cs="Times New Roman" w:eastAsia="Times New Roman" w:hAnsi="Times New Roman"/>
          <w:sz w:val="22"/>
          <w:szCs w:val="22"/>
          <w:b w:val="1"/>
          <w:bCs w:val="1"/>
          <w:color w:val="auto"/>
        </w:rPr>
      </w:pPr>
    </w:p>
    <w:p>
      <w:pPr>
        <w:ind w:firstLine="872"/>
        <w:spacing w:after="0" w:line="249" w:lineRule="auto"/>
        <w:tabs>
          <w:tab w:leader="none" w:pos="175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Availability of Shares</w:t>
      </w:r>
      <w:r>
        <w:rPr>
          <w:rFonts w:ascii="Times New Roman" w:cs="Times New Roman" w:eastAsia="Times New Roman" w:hAnsi="Times New Roman"/>
          <w:sz w:val="22"/>
          <w:szCs w:val="22"/>
          <w:color w:val="auto"/>
        </w:rPr>
        <w:t>. During the terms of the Stock Awards, the Company shall keep available at all times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shares of Common Stock reasonably required to satisfy such Stock Awards.</w:t>
      </w:r>
    </w:p>
    <w:p>
      <w:pPr>
        <w:spacing w:after="0" w:line="150" w:lineRule="exact"/>
        <w:rPr>
          <w:rFonts w:ascii="Times New Roman" w:cs="Times New Roman" w:eastAsia="Times New Roman" w:hAnsi="Times New Roman"/>
          <w:sz w:val="22"/>
          <w:szCs w:val="22"/>
          <w:color w:val="auto"/>
        </w:rPr>
      </w:pPr>
    </w:p>
    <w:p>
      <w:pPr>
        <w:jc w:val="both"/>
        <w:ind w:firstLine="872"/>
        <w:spacing w:after="0" w:line="234" w:lineRule="auto"/>
        <w:tabs>
          <w:tab w:leader="none" w:pos="1763"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Securities Law Compliance</w:t>
      </w:r>
      <w:r>
        <w:rPr>
          <w:rFonts w:ascii="Times New Roman" w:cs="Times New Roman" w:eastAsia="Times New Roman" w:hAnsi="Times New Roman"/>
          <w:sz w:val="21"/>
          <w:szCs w:val="21"/>
          <w:color w:val="auto"/>
        </w:rPr>
        <w:t>. The Company shall seek to obtain from each regulatory commission or agency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having jurisdiction over the Plan such authority as may be required to grant Stock Awards and to issue and sell shares of Common Stock upon exercise of the Stock Awards;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spacing w:after="0" w:line="162" w:lineRule="exact"/>
        <w:rPr>
          <w:rFonts w:ascii="Times New Roman" w:cs="Times New Roman" w:eastAsia="Times New Roman" w:hAnsi="Times New Roman"/>
          <w:sz w:val="21"/>
          <w:szCs w:val="21"/>
          <w:color w:val="auto"/>
        </w:rPr>
      </w:pPr>
    </w:p>
    <w:p>
      <w:pPr>
        <w:jc w:val="both"/>
        <w:ind w:firstLine="872"/>
        <w:spacing w:after="0" w:line="228" w:lineRule="auto"/>
        <w:tabs>
          <w:tab w:leader="none" w:pos="175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Obligation to Notify</w:t>
      </w:r>
      <w:r>
        <w:rPr>
          <w:rFonts w:ascii="Times New Roman" w:cs="Times New Roman" w:eastAsia="Times New Roman" w:hAnsi="Times New Roman"/>
          <w:sz w:val="22"/>
          <w:szCs w:val="22"/>
          <w:color w:val="auto"/>
        </w:rPr>
        <w:t>. The Company shall have no duty or obligation to any Participant to advise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as to the time or 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76" w:name="page277"/>
    <w:bookmarkEnd w:id="276"/>
    <w:p>
      <w:pPr>
        <w:ind w:left="820" w:hanging="812"/>
        <w:spacing w:after="0"/>
        <w:tabs>
          <w:tab w:leader="none" w:pos="82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92" w:lineRule="exact"/>
        <w:rPr>
          <w:rFonts w:ascii="Times New Roman" w:cs="Times New Roman" w:eastAsia="Times New Roman" w:hAnsi="Times New Roman"/>
          <w:sz w:val="22"/>
          <w:szCs w:val="22"/>
          <w:b w:val="1"/>
          <w:bCs w:val="1"/>
          <w:color w:val="auto"/>
        </w:rPr>
      </w:pPr>
    </w:p>
    <w:p>
      <w:pPr>
        <w:ind w:firstLine="872"/>
        <w:spacing w:after="0" w:line="249" w:lineRule="auto"/>
        <w:tabs>
          <w:tab w:leader="none" w:pos="1746"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Use of Proceeds from Sales of Common Stock</w:t>
      </w:r>
      <w:r>
        <w:rPr>
          <w:rFonts w:ascii="Times New Roman" w:cs="Times New Roman" w:eastAsia="Times New Roman" w:hAnsi="Times New Roman"/>
          <w:sz w:val="22"/>
          <w:szCs w:val="22"/>
          <w:color w:val="auto"/>
        </w:rPr>
        <w:t>. Proceeds from the sale of shares of Common Stock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Stock Awards shall constitute general funds of the Company.</w:t>
      </w:r>
    </w:p>
    <w:p>
      <w:pPr>
        <w:spacing w:after="0" w:line="150" w:lineRule="exact"/>
        <w:rPr>
          <w:rFonts w:ascii="Times New Roman" w:cs="Times New Roman" w:eastAsia="Times New Roman" w:hAnsi="Times New Roman"/>
          <w:sz w:val="22"/>
          <w:szCs w:val="22"/>
          <w:color w:val="auto"/>
        </w:rPr>
      </w:pPr>
    </w:p>
    <w:p>
      <w:pPr>
        <w:jc w:val="both"/>
        <w:ind w:firstLine="872"/>
        <w:spacing w:after="0" w:line="231" w:lineRule="auto"/>
        <w:tabs>
          <w:tab w:leader="none" w:pos="1758"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Corporate Action Constituting Grant of Stock Awards</w:t>
      </w:r>
      <w:r>
        <w:rPr>
          <w:rFonts w:ascii="Times New Roman" w:cs="Times New Roman" w:eastAsia="Times New Roman" w:hAnsi="Times New Roman"/>
          <w:sz w:val="22"/>
          <w:szCs w:val="22"/>
          <w:color w:val="auto"/>
        </w:rPr>
        <w:t>. Corporate action constituting a grant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a Stock Award to any 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60" w:lineRule="exact"/>
        <w:rPr>
          <w:rFonts w:ascii="Times New Roman" w:cs="Times New Roman" w:eastAsia="Times New Roman" w:hAnsi="Times New Roman"/>
          <w:sz w:val="22"/>
          <w:szCs w:val="22"/>
          <w:color w:val="auto"/>
        </w:rPr>
      </w:pPr>
    </w:p>
    <w:p>
      <w:pPr>
        <w:jc w:val="both"/>
        <w:ind w:firstLine="872"/>
        <w:spacing w:after="0" w:line="231" w:lineRule="auto"/>
        <w:tabs>
          <w:tab w:leader="none" w:pos="1746"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Shareholder Rights</w:t>
      </w:r>
      <w:r>
        <w:rPr>
          <w:rFonts w:ascii="Times New Roman" w:cs="Times New Roman" w:eastAsia="Times New Roman" w:hAnsi="Times New Roman"/>
          <w:sz w:val="22"/>
          <w:szCs w:val="22"/>
          <w:color w:val="auto"/>
        </w:rPr>
        <w:t>. No Participant shall be deemed to be the holder of, or to have any of the rights of a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any shares of Common Stock subject to such Stock Award unless and until (i) such Participant has satisfied all requirements for exercise of the Stock Award pursuant to its terms, if applicable, and (ii) the issuance of the Common Stock subject to such Stock Award has been entered into the books and records of the Company.</w:t>
      </w:r>
    </w:p>
    <w:p>
      <w:pPr>
        <w:spacing w:after="0" w:line="160" w:lineRule="exact"/>
        <w:rPr>
          <w:rFonts w:ascii="Times New Roman" w:cs="Times New Roman" w:eastAsia="Times New Roman" w:hAnsi="Times New Roman"/>
          <w:sz w:val="22"/>
          <w:szCs w:val="22"/>
          <w:color w:val="auto"/>
        </w:rPr>
      </w:pPr>
    </w:p>
    <w:p>
      <w:pPr>
        <w:jc w:val="both"/>
        <w:ind w:firstLine="872"/>
        <w:spacing w:after="0" w:line="236" w:lineRule="auto"/>
        <w:tabs>
          <w:tab w:leader="none" w:pos="1758"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Employment or Other Service Rights</w:t>
      </w:r>
      <w:r>
        <w:rPr>
          <w:rFonts w:ascii="Times New Roman" w:cs="Times New Roman" w:eastAsia="Times New Roman" w:hAnsi="Times New Roman"/>
          <w:sz w:val="21"/>
          <w:szCs w:val="21"/>
          <w:color w:val="auto"/>
        </w:rPr>
        <w:t>. Nothing in the Plan, any Stock Award Agreement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instrument executed thereunder or in connection with any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60" w:lineRule="exact"/>
        <w:rPr>
          <w:rFonts w:ascii="Times New Roman" w:cs="Times New Roman" w:eastAsia="Times New Roman" w:hAnsi="Times New Roman"/>
          <w:sz w:val="21"/>
          <w:szCs w:val="21"/>
          <w:color w:val="auto"/>
        </w:rPr>
      </w:pPr>
    </w:p>
    <w:p>
      <w:pPr>
        <w:jc w:val="both"/>
        <w:ind w:firstLine="872"/>
        <w:spacing w:after="0" w:line="239" w:lineRule="auto"/>
        <w:tabs>
          <w:tab w:leader="none" w:pos="1746"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Incentive Stock Option $100,000 Limitation</w:t>
      </w:r>
      <w:r>
        <w:rPr>
          <w:rFonts w:ascii="Times New Roman" w:cs="Times New Roman" w:eastAsia="Times New Roman" w:hAnsi="Times New Roman"/>
          <w:sz w:val="21"/>
          <w:szCs w:val="21"/>
          <w:color w:val="auto"/>
        </w:rPr>
        <w:t>. To the extent that the aggregate Fair Market Value (determined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the time of grant) of 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61" w:lineRule="exact"/>
        <w:rPr>
          <w:rFonts w:ascii="Times New Roman" w:cs="Times New Roman" w:eastAsia="Times New Roman" w:hAnsi="Times New Roman"/>
          <w:sz w:val="21"/>
          <w:szCs w:val="21"/>
          <w:color w:val="auto"/>
        </w:rPr>
      </w:pPr>
    </w:p>
    <w:p>
      <w:pPr>
        <w:jc w:val="both"/>
        <w:ind w:firstLine="872"/>
        <w:spacing w:after="0" w:line="223" w:lineRule="auto"/>
        <w:tabs>
          <w:tab w:leader="none" w:pos="1722"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Investment Assurances</w:t>
      </w:r>
      <w:r>
        <w:rPr>
          <w:rFonts w:ascii="Times New Roman" w:cs="Times New Roman" w:eastAsia="Times New Roman" w:hAnsi="Times New Roman"/>
          <w:sz w:val="22"/>
          <w:szCs w:val="22"/>
          <w:color w:val="auto"/>
        </w:rPr>
        <w:t>. The Company may require a Participant, as a condition of exercising or acquiring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77" w:name="page278"/>
    <w:bookmarkEnd w:id="277"/>
    <w:p>
      <w:pPr>
        <w:jc w:val="both"/>
        <w:spacing w:after="0" w:line="238" w:lineRule="auto"/>
        <w:rPr>
          <w:sz w:val="20"/>
          <w:szCs w:val="20"/>
          <w:color w:val="auto"/>
        </w:rPr>
      </w:pPr>
      <w:r>
        <w:rPr>
          <w:rFonts w:ascii="Times New Roman" w:cs="Times New Roman" w:eastAsia="Times New Roman" w:hAnsi="Times New Roman"/>
          <w:sz w:val="21"/>
          <w:szCs w:val="21"/>
          <w:color w:val="auto"/>
        </w:rPr>
        <w:t>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62" w:lineRule="exact"/>
        <w:rPr>
          <w:sz w:val="20"/>
          <w:szCs w:val="20"/>
          <w:color w:val="auto"/>
        </w:rPr>
      </w:pPr>
    </w:p>
    <w:p>
      <w:pPr>
        <w:jc w:val="both"/>
        <w:ind w:firstLine="872"/>
        <w:spacing w:after="0" w:line="231" w:lineRule="auto"/>
        <w:tabs>
          <w:tab w:leader="none" w:pos="1758"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Withholding Obligations</w:t>
      </w:r>
      <w:r>
        <w:rPr>
          <w:rFonts w:ascii="Times New Roman" w:cs="Times New Roman" w:eastAsia="Times New Roman" w:hAnsi="Times New Roman"/>
          <w:sz w:val="21"/>
          <w:szCs w:val="21"/>
          <w:color w:val="auto"/>
        </w:rPr>
        <w:t>. Unless prohibited by the terms of a Stock Award Agreement, the Board, in its sole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 and pursuant to such procedures as it may specify from time to time, may permit a Participant to satisfy any U.S. federal, state, local, non-U.S., and other taxes required to be withheld or paid with respect to a Stock Award, in whole or in part by such methods as the Board shall determine, including without limitation: (i) paying cash, (ii) electing to have the Company withhold otherwise deliverable cash or shares of Common Stock having a fair market value equal to the minimum statutory amount required to be withheld or such greater amount as the Board may determine if such amount would not have adverse accounting consequences, as the Board determines in its sole discretion, (iii) delivering to the Company already-owned shares of Common Stock having a fair market value equal to the statutory amount required to be withheld or such greater amount as the Board may determine, in each case, provided the delivery of such shares of Common Stock will not result in any adverse accounting consequences, as the Board determines in its sole discretion, (iv) selling a sufficient number of shares of Common Stock otherwise deliverable to the Participant through such means as the Board may determine in its sole discretion (whether through a broker or otherwise) equal to the amount required to be withheld or paid, (v) such other consideration and method of payment for the meeting of tax liabilities or withholding obligations as the Board may determine to the extent permitted by applicable laws, or (vi) any combination of the foregoing methods of payment. The amount of the withholding requirement will be deemed to include any amount which the Board agrees may be withheld at the time the election is made, not to exceed the amount determined by using the maximum federal, state or local marginal income tax rates applicable to the Participant with respect to the Stock Award on the date that the amount of tax to be withheld is to be determined or such greater amount as the Board may determine if such amount would not have adverse accounting consequences, as the Board determines in its sole discretion. The fair market value of the shares of Common Stock to be withheld or delivered will be determined as of the date that the taxes are required to be withheld.</w:t>
      </w:r>
    </w:p>
    <w:p>
      <w:pPr>
        <w:spacing w:after="0" w:line="160" w:lineRule="exact"/>
        <w:rPr>
          <w:rFonts w:ascii="Times New Roman" w:cs="Times New Roman" w:eastAsia="Times New Roman" w:hAnsi="Times New Roman"/>
          <w:sz w:val="21"/>
          <w:szCs w:val="21"/>
          <w:color w:val="auto"/>
        </w:rPr>
      </w:pPr>
    </w:p>
    <w:p>
      <w:pPr>
        <w:ind w:firstLine="872"/>
        <w:spacing w:after="0" w:line="249" w:lineRule="auto"/>
        <w:tabs>
          <w:tab w:leader="none" w:pos="175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Any reference herein to a “written” agreement or document shall include any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document delivered electronically or posted on the Company’s intranet.</w:t>
      </w:r>
    </w:p>
    <w:p>
      <w:pPr>
        <w:spacing w:after="0" w:line="150" w:lineRule="exact"/>
        <w:rPr>
          <w:rFonts w:ascii="Times New Roman" w:cs="Times New Roman" w:eastAsia="Times New Roman" w:hAnsi="Times New Roman"/>
          <w:sz w:val="22"/>
          <w:szCs w:val="22"/>
          <w:color w:val="auto"/>
        </w:rPr>
      </w:pPr>
    </w:p>
    <w:p>
      <w:pPr>
        <w:jc w:val="both"/>
        <w:ind w:firstLine="872"/>
        <w:spacing w:after="0" w:line="226" w:lineRule="auto"/>
        <w:tabs>
          <w:tab w:leader="none" w:pos="171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Deferrals</w:t>
      </w:r>
      <w:r>
        <w:rPr>
          <w:rFonts w:ascii="Times New Roman" w:cs="Times New Roman" w:eastAsia="Times New Roman" w:hAnsi="Times New Roman"/>
          <w:sz w:val="22"/>
          <w:szCs w:val="22"/>
          <w:color w:val="auto"/>
        </w:rPr>
        <w:t>. To the extent permitted by applicable law, the Board, in its sole discretion, may determine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of Common 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78" w:name="page279"/>
    <w:bookmarkEnd w:id="278"/>
    <w:p>
      <w:pPr>
        <w:jc w:val="both"/>
        <w:spacing w:after="0" w:line="234" w:lineRule="auto"/>
        <w:rPr>
          <w:sz w:val="20"/>
          <w:szCs w:val="20"/>
          <w:color w:val="auto"/>
        </w:rPr>
      </w:pPr>
      <w:r>
        <w:rPr>
          <w:rFonts w:ascii="Times New Roman" w:cs="Times New Roman" w:eastAsia="Times New Roman" w:hAnsi="Times New Roman"/>
          <w:sz w:val="22"/>
          <w:szCs w:val="22"/>
          <w:color w:val="auto"/>
        </w:rPr>
        <w:t>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61" w:lineRule="exact"/>
        <w:rPr>
          <w:sz w:val="20"/>
          <w:szCs w:val="20"/>
          <w:color w:val="auto"/>
        </w:rPr>
      </w:pPr>
    </w:p>
    <w:p>
      <w:pPr>
        <w:jc w:val="both"/>
        <w:ind w:firstLine="872"/>
        <w:spacing w:after="0" w:line="231" w:lineRule="auto"/>
        <w:tabs>
          <w:tab w:leader="none" w:pos="171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Section 409A</w:t>
      </w:r>
      <w:r>
        <w:rPr>
          <w:rFonts w:ascii="Times New Roman" w:cs="Times New Roman" w:eastAsia="Times New Roman" w:hAnsi="Times New Roman"/>
          <w:sz w:val="22"/>
          <w:szCs w:val="22"/>
          <w:color w:val="auto"/>
        </w:rPr>
        <w:t>. To the extent that the Board determines that any Stock Award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is subject to Section 409A of the Code, the Stock Award Agreement evidencing such Stock Award shall incorporate the terms and conditions necessary to avoid the consequences specified in Section 409A(a)(l) of the Code. To the extent applicable, the Plan and Stock Award Agreements shall be interpreted in accordance with Section 409A of the Code.</w:t>
      </w:r>
    </w:p>
    <w:p>
      <w:pPr>
        <w:spacing w:after="0" w:line="160" w:lineRule="exact"/>
        <w:rPr>
          <w:rFonts w:ascii="Times New Roman" w:cs="Times New Roman" w:eastAsia="Times New Roman" w:hAnsi="Times New Roman"/>
          <w:sz w:val="22"/>
          <w:szCs w:val="22"/>
          <w:color w:val="auto"/>
        </w:rPr>
      </w:pPr>
    </w:p>
    <w:p>
      <w:pPr>
        <w:jc w:val="both"/>
        <w:ind w:firstLine="872"/>
        <w:spacing w:after="0" w:line="220" w:lineRule="auto"/>
        <w:tabs>
          <w:tab w:leader="none" w:pos="176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Exemption Provided by Rule 12h-l(t)</w:t>
      </w:r>
      <w:r>
        <w:rPr>
          <w:rFonts w:ascii="Times New Roman" w:cs="Times New Roman" w:eastAsia="Times New Roman" w:hAnsi="Times New Roman"/>
          <w:sz w:val="22"/>
          <w:szCs w:val="22"/>
          <w:color w:val="auto"/>
        </w:rPr>
        <w:t>. If: (i) the aggregate of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Optionholders and the number of holders of all other outstanding compensatory employee stock options to purchase shares of Common Stock equals or exceeds five hundred (500), and (ii) the assets of the Company at the end of the Company’s most recently completed fiscal year exceed $10 million, then the following restrictions shall apply during any period during which the Company does not have a class of its securities registered under Section 12 of the Exchange Act and is not required to file reports under Section 15(d) of the Exchange Act: (A) the Options and, prior to exercise, the shares of Common Stock acquired upon exercise of the Options may not be transferred until the Company is no longer relying on the exemption provided by Rule 12h-l(f) promulgated under the Exchange Act (“</w:t>
      </w:r>
      <w:r>
        <w:rPr>
          <w:rFonts w:ascii="Times New Roman" w:cs="Times New Roman" w:eastAsia="Times New Roman" w:hAnsi="Times New Roman"/>
          <w:sz w:val="22"/>
          <w:szCs w:val="22"/>
          <w:b w:val="1"/>
          <w:bCs w:val="1"/>
          <w:i w:val="1"/>
          <w:iCs w:val="1"/>
          <w:color w:val="auto"/>
        </w:rPr>
        <w:t>Rule 12h-l(f)</w:t>
      </w:r>
      <w:r>
        <w:rPr>
          <w:rFonts w:ascii="Times New Roman" w:cs="Times New Roman" w:eastAsia="Times New Roman" w:hAnsi="Times New Roman"/>
          <w:sz w:val="22"/>
          <w:szCs w:val="22"/>
          <w:color w:val="auto"/>
        </w:rPr>
        <w:t>”), except: (1) as permitted by Rule 701(c) promulgated under the Securities Act, (2) to a guardian upon the disability of the Optionholder, or (3) to an executor upon the death of the Optionholder (collectively, the “</w:t>
      </w:r>
      <w:r>
        <w:rPr>
          <w:rFonts w:ascii="Times New Roman" w:cs="Times New Roman" w:eastAsia="Times New Roman" w:hAnsi="Times New Roman"/>
          <w:sz w:val="22"/>
          <w:szCs w:val="22"/>
          <w:b w:val="1"/>
          <w:bCs w:val="1"/>
          <w:i w:val="1"/>
          <w:iCs w:val="1"/>
          <w:color w:val="auto"/>
        </w:rPr>
        <w:t>Permitted Transferees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the following transfers are permitted: (i) transfers by the Optionholder to the Company, and (ii) transfers in connection with a change of control or other acquisition involving the Company, if following such transaction, the Options no longer remain outstanding and the Company is no longer relying on the exemption provided by Rule l 2h-1(f);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Permitted Transferees may not further transfer the Options; (B) except as otherwise provided in (A) above, the Options and shares of Common Stock acquired upon exercise of the Options are restricted as to any pledge, hypothecation, or other transfer, including any short position, any “put equivalent position” as defined by Rule 16a-1(h) promulgated under the Exchange Act, or any “call equivalent position” as defined by Rule 16a-l(b) promulgated under the Exchange Act by the Optionholder prior to exercise of an Option until the Company is no longer relying on the exemption provided by Rule 12h-l(f); and (C) at any time that the Company is relying on the exemption provided by Rule 12h-l(f), the Company shall deliver to Optionholders (whether by physical or electronic delivery or written notice of the availability of the information on an internet site) the information required by Rule 701(e)(3), (4), and (5) promulgated under the Securities Act every six (6) months, including financial statements that are not more than one hundred eighty (180) days old;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condition the delivery of such information upon the Optionholder’s agreement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maintain its confidentiality.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79" w:name="page280"/>
    <w:bookmarkEnd w:id="279"/>
    <w:p>
      <w:pPr>
        <w:jc w:val="both"/>
        <w:ind w:firstLine="872"/>
        <w:spacing w:after="0" w:line="231" w:lineRule="auto"/>
        <w:tabs>
          <w:tab w:leader="none" w:pos="171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Repurchase Limitation</w:t>
      </w:r>
      <w:r>
        <w:rPr>
          <w:rFonts w:ascii="Times New Roman" w:cs="Times New Roman" w:eastAsia="Times New Roman" w:hAnsi="Times New Roman"/>
          <w:sz w:val="22"/>
          <w:szCs w:val="22"/>
          <w:color w:val="auto"/>
        </w:rPr>
        <w:t>. The terms of any repurchase right shall be specified in the Stock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repurchase price for vested 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However, the Company shall not exercise its repurchase right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152" w:lineRule="exact"/>
        <w:rPr>
          <w:sz w:val="20"/>
          <w:szCs w:val="20"/>
          <w:color w:val="auto"/>
        </w:rPr>
      </w:pPr>
    </w:p>
    <w:p>
      <w:pPr>
        <w:jc w:val="both"/>
        <w:ind w:firstLine="872"/>
        <w:spacing w:after="0" w:line="225" w:lineRule="auto"/>
        <w:tabs>
          <w:tab w:leader="none" w:pos="1823"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Lock-Up</w:t>
      </w:r>
      <w:r>
        <w:rPr>
          <w:rFonts w:ascii="Times New Roman" w:cs="Times New Roman" w:eastAsia="Times New Roman" w:hAnsi="Times New Roman"/>
          <w:sz w:val="22"/>
          <w:szCs w:val="22"/>
          <w:color w:val="auto"/>
        </w:rPr>
        <w:t>. The Company shall require each Participant, as a condition of exercising or acquiring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under any Stock Award, to agree that in connection with the first underwritten registration of the offering of any securities of the Company under the Securities Act, that such Participant will not sell, dispose of, transfer, make any short sale of, grant any option for the purchase of, or enter into any hedging or similar transaction with the same economic effect as a sale, any shares of Common Stock or other securities of the Company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w:t>
      </w:r>
    </w:p>
    <w:p>
      <w:pPr>
        <w:spacing w:after="0" w:line="162"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 UPON CHANGES IN COMMON STOCK; OTHER CORPORATE EVENTS.</w:t>
      </w:r>
    </w:p>
    <w:p>
      <w:pPr>
        <w:spacing w:after="0" w:line="192" w:lineRule="exact"/>
        <w:rPr>
          <w:rFonts w:ascii="Times New Roman" w:cs="Times New Roman" w:eastAsia="Times New Roman" w:hAnsi="Times New Roman"/>
          <w:sz w:val="22"/>
          <w:szCs w:val="22"/>
          <w:b w:val="1"/>
          <w:bCs w:val="1"/>
          <w:color w:val="auto"/>
        </w:rPr>
      </w:pPr>
    </w:p>
    <w:p>
      <w:pPr>
        <w:jc w:val="both"/>
        <w:ind w:firstLine="872"/>
        <w:spacing w:after="0" w:line="228" w:lineRule="auto"/>
        <w:tabs>
          <w:tab w:leader="none" w:pos="1679"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Capitalization Adjustments</w:t>
      </w:r>
      <w:r>
        <w:rPr>
          <w:rFonts w:ascii="Times New Roman" w:cs="Times New Roman" w:eastAsia="Times New Roman" w:hAnsi="Times New Roman"/>
          <w:sz w:val="22"/>
          <w:szCs w:val="22"/>
          <w:color w:val="auto"/>
        </w:rPr>
        <w:t>. In the event of a Capitalization Adjustment, the Board shall appropriately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shall make such adjustments, and its determination shall be final, binding and conclusive.</w:t>
      </w:r>
    </w:p>
    <w:p>
      <w:pPr>
        <w:spacing w:after="0" w:line="161" w:lineRule="exact"/>
        <w:rPr>
          <w:rFonts w:ascii="Times New Roman" w:cs="Times New Roman" w:eastAsia="Times New Roman" w:hAnsi="Times New Roman"/>
          <w:sz w:val="22"/>
          <w:szCs w:val="22"/>
          <w:color w:val="auto"/>
        </w:rPr>
      </w:pPr>
    </w:p>
    <w:p>
      <w:pPr>
        <w:jc w:val="both"/>
        <w:ind w:firstLine="872"/>
        <w:spacing w:after="0" w:line="223" w:lineRule="auto"/>
        <w:tabs>
          <w:tab w:leader="none" w:pos="169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Except as otherwise provided in the Stock Award Agreement, in the event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dissolution or liquidation of the 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80" w:name="page281"/>
    <w:bookmarkEnd w:id="280"/>
    <w:p>
      <w:pPr>
        <w:jc w:val="both"/>
        <w:ind w:firstLine="872"/>
        <w:spacing w:after="0" w:line="226" w:lineRule="auto"/>
        <w:tabs>
          <w:tab w:leader="none" w:pos="1679"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Corporate Transaction</w:t>
      </w:r>
      <w:r>
        <w:rPr>
          <w:rFonts w:ascii="Times New Roman" w:cs="Times New Roman" w:eastAsia="Times New Roman" w:hAnsi="Times New Roman"/>
          <w:sz w:val="22"/>
          <w:szCs w:val="22"/>
          <w:color w:val="auto"/>
        </w:rPr>
        <w:t>. The following provisions shall apply to Stock Awards in the event of a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unless otherwise provided in the instrument evidencing the Stock Award or any other written agreement between the Company or any Affiliate and the holder of the Stock Award or unless otherwise expressly provided by the Board at the time of grant of a Stock Award. Except as otherwise stated in the Stock Award Agreement, in the event of a Corporate Transaction, then, notwithstanding any other provision of the Plan, the Board shall take one or more of the following actions with respect to Stock Awards, contingent upon the closing or completion of the Corporate Transaction:</w:t>
      </w:r>
    </w:p>
    <w:p>
      <w:pPr>
        <w:spacing w:after="0" w:line="167" w:lineRule="exact"/>
        <w:rPr>
          <w:rFonts w:ascii="Times New Roman" w:cs="Times New Roman" w:eastAsia="Times New Roman" w:hAnsi="Times New Roman"/>
          <w:sz w:val="22"/>
          <w:szCs w:val="22"/>
          <w:color w:val="auto"/>
        </w:rPr>
      </w:pPr>
    </w:p>
    <w:p>
      <w:pPr>
        <w:jc w:val="both"/>
        <w:ind w:firstLine="1734"/>
        <w:spacing w:after="0" w:line="230" w:lineRule="auto"/>
        <w:tabs>
          <w:tab w:leader="none" w:pos="2578"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64" w:lineRule="exact"/>
        <w:rPr>
          <w:rFonts w:ascii="Times New Roman" w:cs="Times New Roman" w:eastAsia="Times New Roman" w:hAnsi="Times New Roman"/>
          <w:sz w:val="22"/>
          <w:szCs w:val="22"/>
          <w:color w:val="auto"/>
        </w:rPr>
      </w:pPr>
    </w:p>
    <w:p>
      <w:pPr>
        <w:jc w:val="both"/>
        <w:ind w:firstLine="1734"/>
        <w:spacing w:after="0" w:line="234" w:lineRule="auto"/>
        <w:tabs>
          <w:tab w:leader="none" w:pos="2638"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64" w:lineRule="exact"/>
        <w:rPr>
          <w:rFonts w:ascii="Times New Roman" w:cs="Times New Roman" w:eastAsia="Times New Roman" w:hAnsi="Times New Roman"/>
          <w:sz w:val="22"/>
          <w:szCs w:val="22"/>
          <w:color w:val="auto"/>
        </w:rPr>
      </w:pPr>
    </w:p>
    <w:p>
      <w:pPr>
        <w:jc w:val="both"/>
        <w:ind w:firstLine="1734"/>
        <w:spacing w:after="0" w:line="241" w:lineRule="auto"/>
        <w:tabs>
          <w:tab w:leader="none" w:pos="2698"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accelerate the vesting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164" w:lineRule="exact"/>
        <w:rPr>
          <w:rFonts w:ascii="Times New Roman" w:cs="Times New Roman" w:eastAsia="Times New Roman" w:hAnsi="Times New Roman"/>
          <w:sz w:val="21"/>
          <w:szCs w:val="21"/>
          <w:color w:val="auto"/>
        </w:rPr>
      </w:pPr>
    </w:p>
    <w:p>
      <w:pPr>
        <w:ind w:left="2700" w:hanging="966"/>
        <w:spacing w:after="0"/>
        <w:tabs>
          <w:tab w:leader="none" w:pos="2700"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arrange for the lapse of any reacquisition or repurchase rights held by the Company with respect to</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Stock Award;</w:t>
      </w:r>
    </w:p>
    <w:p>
      <w:pPr>
        <w:spacing w:after="0" w:line="168" w:lineRule="exact"/>
        <w:rPr>
          <w:rFonts w:ascii="Times New Roman" w:cs="Times New Roman" w:eastAsia="Times New Roman" w:hAnsi="Times New Roman"/>
          <w:sz w:val="21"/>
          <w:szCs w:val="21"/>
          <w:color w:val="auto"/>
        </w:rPr>
      </w:pPr>
    </w:p>
    <w:p>
      <w:pPr>
        <w:jc w:val="both"/>
        <w:ind w:firstLine="1734"/>
        <w:spacing w:after="0" w:line="230" w:lineRule="auto"/>
        <w:tabs>
          <w:tab w:leader="none" w:pos="2626"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or arrange for the cancellation of the Stock Award, to the extent not vested or not exercised prior to the effective time of the Corporate Transaction, for no consideration (subject to Section 8(l) above with respect to outstanding shares of Common Stock, if applicable) or in exchange for such cash consideration, if any, as the Board, in its sole discretion, may consider appropriate; and</w:t>
      </w:r>
    </w:p>
    <w:p>
      <w:pPr>
        <w:spacing w:after="0" w:line="164" w:lineRule="exact"/>
        <w:rPr>
          <w:rFonts w:ascii="Times New Roman" w:cs="Times New Roman" w:eastAsia="Times New Roman" w:hAnsi="Times New Roman"/>
          <w:sz w:val="22"/>
          <w:szCs w:val="22"/>
          <w:color w:val="auto"/>
        </w:rPr>
      </w:pPr>
    </w:p>
    <w:p>
      <w:pPr>
        <w:ind w:left="2700" w:hanging="966"/>
        <w:spacing w:after="0"/>
        <w:tabs>
          <w:tab w:leader="none" w:pos="2700"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 payment, in such form as may be determined by the Board equal to the excess, if any, of</w:t>
      </w:r>
    </w:p>
    <w:p>
      <w:pPr>
        <w:ind w:firstLine="8"/>
        <w:spacing w:after="0" w:line="231" w:lineRule="auto"/>
        <w:tabs>
          <w:tab w:leader="none" w:pos="36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the property the holder of the Stock Award would have received upon the exercise of the Stock Award, over (B) any exercise price payable by such holder in connection with such exercise.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need not take the same action with respect to all Stock Awards or with respect to all Participants.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81" w:name="page282"/>
    <w:bookmarkEnd w:id="281"/>
    <w:p>
      <w:pPr>
        <w:jc w:val="both"/>
        <w:ind w:firstLine="872"/>
        <w:spacing w:after="0" w:line="231" w:lineRule="auto"/>
        <w:tabs>
          <w:tab w:leader="none" w:pos="1691"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A Stock Award may be subject to additional acceleration of vesting and exercisability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or after a Change in Control 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16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OR SUSPENSION OF THE PLAN.</w:t>
      </w:r>
    </w:p>
    <w:p>
      <w:pPr>
        <w:spacing w:after="0" w:line="192" w:lineRule="exact"/>
        <w:rPr>
          <w:rFonts w:ascii="Times New Roman" w:cs="Times New Roman" w:eastAsia="Times New Roman" w:hAnsi="Times New Roman"/>
          <w:sz w:val="22"/>
          <w:szCs w:val="22"/>
          <w:b w:val="1"/>
          <w:bCs w:val="1"/>
          <w:color w:val="auto"/>
        </w:rPr>
      </w:pPr>
    </w:p>
    <w:p>
      <w:pPr>
        <w:jc w:val="both"/>
        <w:ind w:firstLine="872"/>
        <w:spacing w:after="0" w:line="242" w:lineRule="auto"/>
        <w:tabs>
          <w:tab w:leader="none" w:pos="1751"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Plan Term</w:t>
      </w:r>
      <w:r>
        <w:rPr>
          <w:rFonts w:ascii="Times New Roman" w:cs="Times New Roman" w:eastAsia="Times New Roman" w:hAnsi="Times New Roman"/>
          <w:sz w:val="21"/>
          <w:szCs w:val="21"/>
          <w:color w:val="auto"/>
        </w:rPr>
        <w:t>. The Board may suspend or terminate the Plan at any time. Unless sooner terminated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pursuant to Section 2, the Plan shall automatically terminate on the day before the tenth (10th) anniversary of the earlier of</w:t>
      </w:r>
    </w:p>
    <w:p>
      <w:pPr>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the date the Plan is adopted by the Board, or (ii) the date the Plan is approved by the stockholders of the Company. No Stock Awards may be granted under the Plan while the Plan is suspended or after it is terminated.</w:t>
      </w:r>
    </w:p>
    <w:p>
      <w:pPr>
        <w:spacing w:after="0" w:line="160" w:lineRule="exact"/>
        <w:rPr>
          <w:rFonts w:ascii="Times New Roman" w:cs="Times New Roman" w:eastAsia="Times New Roman" w:hAnsi="Times New Roman"/>
          <w:sz w:val="21"/>
          <w:szCs w:val="21"/>
          <w:color w:val="auto"/>
        </w:rPr>
      </w:pPr>
    </w:p>
    <w:p>
      <w:pPr>
        <w:ind w:firstLine="872"/>
        <w:spacing w:after="0" w:line="249" w:lineRule="auto"/>
        <w:tabs>
          <w:tab w:leader="none" w:pos="1763"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Impairment of Rights</w:t>
      </w:r>
      <w:r>
        <w:rPr>
          <w:rFonts w:ascii="Times New Roman" w:cs="Times New Roman" w:eastAsia="Times New Roman" w:hAnsi="Times New Roman"/>
          <w:sz w:val="22"/>
          <w:szCs w:val="22"/>
          <w:color w:val="auto"/>
        </w:rPr>
        <w:t>. Suspension or termination of the Plan shall not impair rights and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any Stock Award granted while the Plan is in effect except with the written consent of the affected Participant.</w:t>
      </w:r>
    </w:p>
    <w:p>
      <w:pPr>
        <w:spacing w:after="0" w:line="15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 OF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Plan shall become effective on the Effective Date.</w:t>
      </w:r>
    </w:p>
    <w:p>
      <w:pPr>
        <w:spacing w:after="0" w:line="189" w:lineRule="exact"/>
        <w:rPr>
          <w:sz w:val="20"/>
          <w:szCs w:val="20"/>
          <w:color w:val="auto"/>
        </w:rPr>
      </w:pPr>
    </w:p>
    <w:p>
      <w:pPr>
        <w:ind w:left="920" w:hanging="912"/>
        <w:spacing w:after="0"/>
        <w:tabs>
          <w:tab w:leader="none" w:pos="92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w:t>
      </w:r>
    </w:p>
    <w:p>
      <w:pPr>
        <w:spacing w:after="0" w:line="197" w:lineRule="exact"/>
        <w:rPr>
          <w:sz w:val="20"/>
          <w:szCs w:val="20"/>
          <w:color w:val="auto"/>
        </w:rPr>
      </w:pPr>
    </w:p>
    <w:p>
      <w:pPr>
        <w:ind w:firstLine="864"/>
        <w:spacing w:after="0" w:line="245" w:lineRule="auto"/>
        <w:rPr>
          <w:sz w:val="20"/>
          <w:szCs w:val="20"/>
          <w:color w:val="auto"/>
        </w:rPr>
      </w:pPr>
      <w:r>
        <w:rPr>
          <w:rFonts w:ascii="Times New Roman" w:cs="Times New Roman" w:eastAsia="Times New Roman" w:hAnsi="Times New Roman"/>
          <w:sz w:val="22"/>
          <w:szCs w:val="22"/>
          <w:color w:val="auto"/>
        </w:rPr>
        <w:t>The law of the State of Washington shall govern all questions concerning the construction, validity and interpretation of this Plan, without regard to that state’s conflict of laws rules.</w:t>
      </w:r>
    </w:p>
    <w:p>
      <w:pPr>
        <w:spacing w:after="0" w:line="155" w:lineRule="exact"/>
        <w:rPr>
          <w:sz w:val="20"/>
          <w:szCs w:val="20"/>
          <w:color w:val="auto"/>
        </w:rPr>
      </w:pPr>
    </w:p>
    <w:p>
      <w:pPr>
        <w:ind w:left="920" w:hanging="912"/>
        <w:spacing w:after="0"/>
        <w:tabs>
          <w:tab w:leader="none" w:pos="92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As used in the Plan, the following definitions shall apply to the capitalized terms indicated below:</w:t>
      </w:r>
    </w:p>
    <w:p>
      <w:pPr>
        <w:spacing w:after="0" w:line="190" w:lineRule="exact"/>
        <w:rPr>
          <w:rFonts w:ascii="Times New Roman" w:cs="Times New Roman" w:eastAsia="Times New Roman" w:hAnsi="Times New Roman"/>
          <w:sz w:val="22"/>
          <w:szCs w:val="22"/>
          <w:b w:val="1"/>
          <w:bCs w:val="1"/>
          <w:color w:val="auto"/>
        </w:rPr>
      </w:pPr>
    </w:p>
    <w:p>
      <w:pPr>
        <w:jc w:val="both"/>
        <w:ind w:firstLine="872"/>
        <w:spacing w:after="0" w:line="236" w:lineRule="auto"/>
        <w:tabs>
          <w:tab w:leader="none" w:pos="1751"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at the time of determination, any “parent” or “majority-owned subsidiary” of the Company, as such terms are defined in Rule 405 of the Securities Act. The Board shall have the authority to determine the time or times at which “parent” or “majority-owned subsidiary” status is determined within the foregoing definition.</w:t>
      </w:r>
    </w:p>
    <w:p>
      <w:pPr>
        <w:spacing w:after="0" w:line="158"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the Board of Directors of the Company.</w:t>
      </w:r>
    </w:p>
    <w:p>
      <w:pPr>
        <w:spacing w:after="0" w:line="192" w:lineRule="exact"/>
        <w:rPr>
          <w:rFonts w:ascii="Times New Roman" w:cs="Times New Roman" w:eastAsia="Times New Roman" w:hAnsi="Times New Roman"/>
          <w:sz w:val="22"/>
          <w:szCs w:val="22"/>
          <w:color w:val="auto"/>
        </w:rPr>
      </w:pPr>
    </w:p>
    <w:p>
      <w:pPr>
        <w:jc w:val="both"/>
        <w:ind w:firstLine="872"/>
        <w:spacing w:after="0" w:line="225" w:lineRule="auto"/>
        <w:tabs>
          <w:tab w:leader="none" w:pos="1751"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Capitalization Adjustment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any similar equity restructuring transaction, as that term is used in Statement of Financial Accounting Standards No. 123 (revised)). Notwithstanding the foregoing, the conversion of any convertible securities of the Company shall not be treated as a Capitalization Adjustment.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82" w:name="page283"/>
    <w:bookmarkEnd w:id="282"/>
    <w:p>
      <w:pPr>
        <w:jc w:val="both"/>
        <w:ind w:firstLine="872"/>
        <w:spacing w:after="0" w:line="233" w:lineRule="auto"/>
        <w:tabs>
          <w:tab w:leader="none" w:pos="1763"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w:t>
      </w:r>
    </w:p>
    <w:p>
      <w:pPr>
        <w:jc w:val="both"/>
        <w:ind w:firstLine="8"/>
        <w:spacing w:after="0" w:line="222" w:lineRule="auto"/>
        <w:tabs>
          <w:tab w:leader="none" w:pos="393"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Stock Awards held by such Participant shall have no effect upon any determination of the rights or obligations of the Company or such Participant for any other purpose.</w:t>
      </w:r>
    </w:p>
    <w:p>
      <w:pPr>
        <w:spacing w:after="0" w:line="158" w:lineRule="exact"/>
        <w:rPr>
          <w:rFonts w:ascii="Times New Roman" w:cs="Times New Roman" w:eastAsia="Times New Roman" w:hAnsi="Times New Roman"/>
          <w:sz w:val="22"/>
          <w:szCs w:val="22"/>
          <w:color w:val="auto"/>
        </w:rPr>
      </w:pPr>
    </w:p>
    <w:p>
      <w:pPr>
        <w:ind w:firstLine="872"/>
        <w:spacing w:after="0" w:line="251" w:lineRule="auto"/>
        <w:tabs>
          <w:tab w:leader="none" w:pos="1751"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151" w:lineRule="exact"/>
        <w:rPr>
          <w:rFonts w:ascii="Times New Roman" w:cs="Times New Roman" w:eastAsia="Times New Roman" w:hAnsi="Times New Roman"/>
          <w:sz w:val="22"/>
          <w:szCs w:val="22"/>
          <w:color w:val="auto"/>
        </w:rPr>
      </w:pPr>
    </w:p>
    <w:p>
      <w:pPr>
        <w:jc w:val="both"/>
        <w:ind w:firstLine="1734"/>
        <w:spacing w:after="0" w:line="232" w:lineRule="auto"/>
        <w:tabs>
          <w:tab w:leader="none" w:pos="2575" w:val="left"/>
        </w:tabs>
        <w:numPr>
          <w:ilvl w:val="2"/>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1"/>
          <w:szCs w:val="21"/>
          <w:b w:val="1"/>
          <w:bCs w:val="1"/>
          <w:i w:val="1"/>
          <w:iCs w:val="1"/>
          <w:color w:val="auto"/>
        </w:rPr>
        <w:t>Subject Person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83" w:name="page284"/>
    <w:bookmarkEnd w:id="283"/>
    <w:p>
      <w:pPr>
        <w:jc w:val="both"/>
        <w:ind w:firstLine="1734"/>
        <w:spacing w:after="0" w:line="224" w:lineRule="auto"/>
        <w:tabs>
          <w:tab w:leader="none" w:pos="263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69" w:lineRule="exact"/>
        <w:rPr>
          <w:rFonts w:ascii="Times New Roman" w:cs="Times New Roman" w:eastAsia="Times New Roman" w:hAnsi="Times New Roman"/>
          <w:sz w:val="22"/>
          <w:szCs w:val="22"/>
          <w:color w:val="auto"/>
        </w:rPr>
      </w:pPr>
    </w:p>
    <w:p>
      <w:pPr>
        <w:jc w:val="both"/>
        <w:ind w:firstLine="1734"/>
        <w:spacing w:after="0" w:line="234" w:lineRule="auto"/>
        <w:tabs>
          <w:tab w:leader="none" w:pos="269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64" w:lineRule="exact"/>
        <w:rPr>
          <w:rFonts w:ascii="Times New Roman" w:cs="Times New Roman" w:eastAsia="Times New Roman" w:hAnsi="Times New Roman"/>
          <w:sz w:val="22"/>
          <w:szCs w:val="22"/>
          <w:color w:val="auto"/>
        </w:rPr>
      </w:pPr>
    </w:p>
    <w:p>
      <w:pPr>
        <w:jc w:val="both"/>
        <w:ind w:firstLine="1734"/>
        <w:spacing w:after="0" w:line="226" w:lineRule="auto"/>
        <w:tabs>
          <w:tab w:leader="none" w:pos="268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6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provided, however, that if no definition of Change in Control or any analogous term is set forth in such an individual written agreement, the foregoing definition shall apply.</w:t>
      </w:r>
    </w:p>
    <w:p>
      <w:pPr>
        <w:spacing w:after="0" w:line="158" w:lineRule="exact"/>
        <w:rPr>
          <w:sz w:val="20"/>
          <w:szCs w:val="20"/>
          <w:color w:val="auto"/>
        </w:rPr>
      </w:pPr>
    </w:p>
    <w:p>
      <w:pPr>
        <w:ind w:firstLine="872"/>
        <w:spacing w:after="0" w:line="251" w:lineRule="auto"/>
        <w:tabs>
          <w:tab w:leader="none" w:pos="172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as well as any applicable regulations and guidance thereunder.</w:t>
      </w:r>
    </w:p>
    <w:p>
      <w:pPr>
        <w:spacing w:after="0" w:line="145" w:lineRule="exact"/>
        <w:rPr>
          <w:rFonts w:ascii="Times New Roman" w:cs="Times New Roman" w:eastAsia="Times New Roman" w:hAnsi="Times New Roman"/>
          <w:sz w:val="22"/>
          <w:szCs w:val="22"/>
          <w:color w:val="auto"/>
        </w:rPr>
      </w:pPr>
    </w:p>
    <w:p>
      <w:pPr>
        <w:ind w:firstLine="872"/>
        <w:spacing w:after="0" w:line="251" w:lineRule="auto"/>
        <w:tabs>
          <w:tab w:leader="none" w:pos="176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 committee of one (1) or more Directors to whom authority has been delegated by the Board in accordance with Section 2(c).</w:t>
      </w:r>
    </w:p>
    <w:p>
      <w:pPr>
        <w:spacing w:after="0" w:line="145"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the common stock of the Company.</w:t>
      </w:r>
    </w:p>
    <w:p>
      <w:pPr>
        <w:spacing w:after="0" w:line="192" w:lineRule="exact"/>
        <w:rPr>
          <w:rFonts w:ascii="Times New Roman" w:cs="Times New Roman" w:eastAsia="Times New Roman" w:hAnsi="Times New Roman"/>
          <w:sz w:val="22"/>
          <w:szCs w:val="22"/>
          <w:color w:val="auto"/>
        </w:rPr>
      </w:pPr>
    </w:p>
    <w:p>
      <w:pPr>
        <w:ind w:left="1720" w:hanging="848"/>
        <w:spacing w:after="0"/>
        <w:tabs>
          <w:tab w:leader="none" w:pos="172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Athira Pharma, Inc., a Delaware corporation, or any successor thereto.</w:t>
      </w:r>
    </w:p>
    <w:p>
      <w:pPr>
        <w:spacing w:after="0" w:line="192" w:lineRule="exact"/>
        <w:rPr>
          <w:rFonts w:ascii="Times New Roman" w:cs="Times New Roman" w:eastAsia="Times New Roman" w:hAnsi="Times New Roman"/>
          <w:sz w:val="22"/>
          <w:szCs w:val="22"/>
          <w:color w:val="auto"/>
        </w:rPr>
      </w:pPr>
    </w:p>
    <w:p>
      <w:pPr>
        <w:jc w:val="both"/>
        <w:ind w:firstLine="872"/>
        <w:spacing w:after="0" w:line="231" w:lineRule="auto"/>
        <w:tabs>
          <w:tab w:leader="none" w:pos="171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84" w:name="page285"/>
    <w:bookmarkEnd w:id="284"/>
    <w:p>
      <w:pPr>
        <w:jc w:val="both"/>
        <w:ind w:firstLine="872"/>
        <w:spacing w:after="0" w:line="221" w:lineRule="auto"/>
        <w:tabs>
          <w:tab w:leader="none" w:pos="176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Continuous Service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64" w:lineRule="exact"/>
        <w:rPr>
          <w:rFonts w:ascii="Times New Roman" w:cs="Times New Roman" w:eastAsia="Times New Roman" w:hAnsi="Times New Roman"/>
          <w:sz w:val="22"/>
          <w:szCs w:val="22"/>
          <w:color w:val="auto"/>
        </w:rPr>
      </w:pPr>
    </w:p>
    <w:p>
      <w:pPr>
        <w:ind w:firstLine="872"/>
        <w:spacing w:after="0" w:line="251" w:lineRule="auto"/>
        <w:tabs>
          <w:tab w:leader="none" w:pos="171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151" w:lineRule="exact"/>
        <w:rPr>
          <w:rFonts w:ascii="Times New Roman" w:cs="Times New Roman" w:eastAsia="Times New Roman" w:hAnsi="Times New Roman"/>
          <w:sz w:val="22"/>
          <w:szCs w:val="22"/>
          <w:color w:val="auto"/>
        </w:rPr>
      </w:pPr>
    </w:p>
    <w:p>
      <w:pPr>
        <w:ind w:firstLine="1734"/>
        <w:spacing w:after="0" w:line="245" w:lineRule="auto"/>
        <w:tabs>
          <w:tab w:leader="none" w:pos="2578"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sale or other disposition of all or substantially all, as determined by the Board in its sole discretion, of the consolidated assets of the Company and its Subsidiaries;</w:t>
      </w:r>
    </w:p>
    <w:p>
      <w:pPr>
        <w:spacing w:after="0" w:line="158" w:lineRule="exact"/>
        <w:rPr>
          <w:rFonts w:ascii="Times New Roman" w:cs="Times New Roman" w:eastAsia="Times New Roman" w:hAnsi="Times New Roman"/>
          <w:sz w:val="22"/>
          <w:szCs w:val="22"/>
          <w:color w:val="auto"/>
        </w:rPr>
      </w:pPr>
    </w:p>
    <w:p>
      <w:pPr>
        <w:ind w:left="2640" w:hanging="906"/>
        <w:spacing w:after="0"/>
        <w:tabs>
          <w:tab w:leader="none" w:pos="264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sale or other disposition of at least ninety percent (90%) of the outstanding</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securities of the Company;</w:t>
      </w:r>
    </w:p>
    <w:p>
      <w:pPr>
        <w:spacing w:after="0" w:line="168" w:lineRule="exact"/>
        <w:rPr>
          <w:rFonts w:ascii="Times New Roman" w:cs="Times New Roman" w:eastAsia="Times New Roman" w:hAnsi="Times New Roman"/>
          <w:sz w:val="21"/>
          <w:szCs w:val="21"/>
          <w:color w:val="auto"/>
        </w:rPr>
      </w:pPr>
    </w:p>
    <w:p>
      <w:pPr>
        <w:ind w:firstLine="1734"/>
        <w:spacing w:after="0" w:line="245" w:lineRule="auto"/>
        <w:tabs>
          <w:tab w:leader="none" w:pos="2698"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or similar transaction following which the Company is not the surviving corporation; or</w:t>
      </w:r>
    </w:p>
    <w:p>
      <w:pPr>
        <w:spacing w:after="0" w:line="158" w:lineRule="exact"/>
        <w:rPr>
          <w:rFonts w:ascii="Times New Roman" w:cs="Times New Roman" w:eastAsia="Times New Roman" w:hAnsi="Times New Roman"/>
          <w:sz w:val="22"/>
          <w:szCs w:val="22"/>
          <w:color w:val="auto"/>
        </w:rPr>
      </w:pPr>
    </w:p>
    <w:p>
      <w:pPr>
        <w:jc w:val="both"/>
        <w:ind w:firstLine="1734"/>
        <w:spacing w:after="0" w:line="230" w:lineRule="auto"/>
        <w:tabs>
          <w:tab w:leader="none" w:pos="2686"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58" w:lineRule="exact"/>
        <w:rPr>
          <w:rFonts w:ascii="Times New Roman" w:cs="Times New Roman" w:eastAsia="Times New Roman" w:hAnsi="Times New Roman"/>
          <w:sz w:val="22"/>
          <w:szCs w:val="22"/>
          <w:color w:val="auto"/>
        </w:rPr>
      </w:pPr>
    </w:p>
    <w:p>
      <w:pPr>
        <w:ind w:left="1840" w:hanging="968"/>
        <w:spacing w:after="0"/>
        <w:tabs>
          <w:tab w:leader="none" w:pos="18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192" w:lineRule="exact"/>
        <w:rPr>
          <w:rFonts w:ascii="Times New Roman" w:cs="Times New Roman" w:eastAsia="Times New Roman" w:hAnsi="Times New Roman"/>
          <w:sz w:val="22"/>
          <w:szCs w:val="22"/>
          <w:color w:val="auto"/>
        </w:rPr>
      </w:pPr>
    </w:p>
    <w:p>
      <w:pPr>
        <w:jc w:val="both"/>
        <w:ind w:firstLine="872"/>
        <w:spacing w:after="0" w:line="228" w:lineRule="auto"/>
        <w:tabs>
          <w:tab w:leader="none" w:pos="176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85" w:name="page286"/>
    <w:bookmarkEnd w:id="285"/>
    <w:p>
      <w:pPr>
        <w:ind w:firstLine="872"/>
        <w:spacing w:after="0" w:line="251" w:lineRule="auto"/>
        <w:tabs>
          <w:tab w:leader="none" w:pos="176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w:t>
      </w:r>
      <w:r>
        <w:rPr>
          <w:rFonts w:ascii="Times New Roman" w:cs="Times New Roman" w:eastAsia="Times New Roman" w:hAnsi="Times New Roman"/>
          <w:sz w:val="22"/>
          <w:szCs w:val="22"/>
          <w:color w:val="auto"/>
        </w:rPr>
        <w:t xml:space="preserve"> Date” means the effective date of this Plan, which is the earlier. of (i) the date that this Plan is first approved by the Company’s stockholders, or (ii) the date this Plan is adopted by the Board.</w:t>
      </w:r>
    </w:p>
    <w:p>
      <w:pPr>
        <w:spacing w:after="0" w:line="145" w:lineRule="exact"/>
        <w:rPr>
          <w:rFonts w:ascii="Times New Roman" w:cs="Times New Roman" w:eastAsia="Times New Roman" w:hAnsi="Times New Roman"/>
          <w:sz w:val="22"/>
          <w:szCs w:val="22"/>
          <w:color w:val="auto"/>
        </w:rPr>
      </w:pPr>
    </w:p>
    <w:p>
      <w:pPr>
        <w:jc w:val="both"/>
        <w:ind w:firstLine="872"/>
        <w:spacing w:after="0" w:line="236" w:lineRule="auto"/>
        <w:tabs>
          <w:tab w:leader="none" w:pos="176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means any person employed by the Company or an Affiliate. However, service solely as a Director, or payment of a fee for such services, shall not cause a Director to be considered an “Employee” for purposes of the Plan.</w:t>
      </w:r>
    </w:p>
    <w:p>
      <w:pPr>
        <w:spacing w:after="0" w:line="158"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Entity</w:t>
      </w:r>
      <w:r>
        <w:rPr>
          <w:rFonts w:ascii="Times New Roman" w:cs="Times New Roman" w:eastAsia="Times New Roman" w:hAnsi="Times New Roman"/>
          <w:sz w:val="22"/>
          <w:szCs w:val="22"/>
          <w:color w:val="auto"/>
        </w:rPr>
        <w:t>” means a corporation, partnership, limited liability company or other entity.</w:t>
      </w:r>
    </w:p>
    <w:p>
      <w:pPr>
        <w:spacing w:after="0" w:line="192" w:lineRule="exact"/>
        <w:rPr>
          <w:rFonts w:ascii="Times New Roman" w:cs="Times New Roman" w:eastAsia="Times New Roman" w:hAnsi="Times New Roman"/>
          <w:sz w:val="22"/>
          <w:szCs w:val="22"/>
          <w:color w:val="auto"/>
        </w:rPr>
      </w:pPr>
    </w:p>
    <w:p>
      <w:pPr>
        <w:ind w:right="20" w:firstLine="872"/>
        <w:spacing w:after="0" w:line="251" w:lineRule="auto"/>
        <w:tabs>
          <w:tab w:leader="none" w:pos="1727"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45" w:lineRule="exact"/>
        <w:rPr>
          <w:rFonts w:ascii="Times New Roman" w:cs="Times New Roman" w:eastAsia="Times New Roman" w:hAnsi="Times New Roman"/>
          <w:sz w:val="22"/>
          <w:szCs w:val="22"/>
          <w:color w:val="auto"/>
        </w:rPr>
      </w:pPr>
    </w:p>
    <w:p>
      <w:pPr>
        <w:jc w:val="both"/>
        <w:ind w:firstLine="872"/>
        <w:spacing w:after="0" w:line="223" w:lineRule="auto"/>
        <w:tabs>
          <w:tab w:leader="none" w:pos="173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 Person</w:t>
      </w:r>
      <w:r>
        <w:rPr>
          <w:rFonts w:ascii="Times New Roman" w:cs="Times New Roman" w:eastAsia="Times New Roman" w:hAnsi="Times New Roman"/>
          <w:sz w:val="22"/>
          <w:szCs w:val="22"/>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65" w:lineRule="exact"/>
        <w:rPr>
          <w:rFonts w:ascii="Times New Roman" w:cs="Times New Roman" w:eastAsia="Times New Roman" w:hAnsi="Times New Roman"/>
          <w:sz w:val="22"/>
          <w:szCs w:val="22"/>
          <w:color w:val="auto"/>
        </w:rPr>
      </w:pPr>
    </w:p>
    <w:p>
      <w:pPr>
        <w:jc w:val="both"/>
        <w:ind w:firstLine="872"/>
        <w:spacing w:after="0" w:line="236" w:lineRule="auto"/>
        <w:tabs>
          <w:tab w:leader="none" w:pos="171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as of any date, the value of the Common Stock determined by the Board in compliance with Section 409A of the Code or, in the case of an Incentive Stock Option, in compliance with Section 422 of the Code.</w:t>
      </w:r>
    </w:p>
    <w:p>
      <w:pPr>
        <w:spacing w:after="0" w:line="158" w:lineRule="exact"/>
        <w:rPr>
          <w:rFonts w:ascii="Times New Roman" w:cs="Times New Roman" w:eastAsia="Times New Roman" w:hAnsi="Times New Roman"/>
          <w:sz w:val="22"/>
          <w:szCs w:val="22"/>
          <w:color w:val="auto"/>
        </w:rPr>
      </w:pPr>
    </w:p>
    <w:p>
      <w:pPr>
        <w:ind w:firstLine="872"/>
        <w:spacing w:after="0" w:line="251" w:lineRule="auto"/>
        <w:tabs>
          <w:tab w:leader="none" w:pos="176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Stock Option</w:t>
      </w:r>
      <w:r>
        <w:rPr>
          <w:rFonts w:ascii="Times New Roman" w:cs="Times New Roman" w:eastAsia="Times New Roman" w:hAnsi="Times New Roman"/>
          <w:sz w:val="22"/>
          <w:szCs w:val="22"/>
          <w:color w:val="auto"/>
        </w:rPr>
        <w:t>” means an option that qualifies as an “incentive stock option” within the meaning of Section 422 of the Code and the regulations promulgated thereunder.</w:t>
      </w:r>
    </w:p>
    <w:p>
      <w:pPr>
        <w:spacing w:after="0" w:line="145"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color w:val="auto"/>
        </w:rPr>
        <w:t>” means an Option that does not qualify as an Incentive Stock Option.</w:t>
      </w:r>
    </w:p>
    <w:p>
      <w:pPr>
        <w:spacing w:after="0" w:line="192" w:lineRule="exact"/>
        <w:rPr>
          <w:rFonts w:ascii="Times New Roman" w:cs="Times New Roman" w:eastAsia="Times New Roman" w:hAnsi="Times New Roman"/>
          <w:sz w:val="22"/>
          <w:szCs w:val="22"/>
          <w:color w:val="auto"/>
        </w:rPr>
      </w:pPr>
    </w:p>
    <w:p>
      <w:pPr>
        <w:ind w:left="1820" w:hanging="948"/>
        <w:spacing w:after="0"/>
        <w:tabs>
          <w:tab w:leader="none" w:pos="18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any person designated by the Company as an officer.</w:t>
      </w:r>
    </w:p>
    <w:p>
      <w:pPr>
        <w:spacing w:after="0" w:line="192" w:lineRule="exact"/>
        <w:rPr>
          <w:rFonts w:ascii="Times New Roman" w:cs="Times New Roman" w:eastAsia="Times New Roman" w:hAnsi="Times New Roman"/>
          <w:sz w:val="22"/>
          <w:szCs w:val="22"/>
          <w:color w:val="auto"/>
        </w:rPr>
      </w:pPr>
    </w:p>
    <w:p>
      <w:pPr>
        <w:ind w:firstLine="872"/>
        <w:spacing w:after="0" w:line="251" w:lineRule="auto"/>
        <w:tabs>
          <w:tab w:leader="none" w:pos="176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means an Incentive Stock Option or a Nonstatutory Stock Option to purchase shares of Common Stock granted pursuant to the Plan.</w:t>
      </w:r>
    </w:p>
    <w:p>
      <w:pPr>
        <w:spacing w:after="0" w:line="145" w:lineRule="exact"/>
        <w:rPr>
          <w:rFonts w:ascii="Times New Roman" w:cs="Times New Roman" w:eastAsia="Times New Roman" w:hAnsi="Times New Roman"/>
          <w:sz w:val="22"/>
          <w:szCs w:val="22"/>
          <w:color w:val="auto"/>
        </w:rPr>
      </w:pPr>
    </w:p>
    <w:p>
      <w:pPr>
        <w:ind w:right="20" w:firstLine="872"/>
        <w:spacing w:after="0" w:line="251" w:lineRule="auto"/>
        <w:tabs>
          <w:tab w:leader="none" w:pos="176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Agreement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 written agreement between the Company and an Optionholder evidencing the terms and conditions of an Option grant. Each Option Agreement shall be subject to the terms and conditions of the Plan.</w:t>
      </w:r>
    </w:p>
    <w:p>
      <w:pPr>
        <w:spacing w:after="0" w:line="145" w:lineRule="exact"/>
        <w:rPr>
          <w:rFonts w:ascii="Times New Roman" w:cs="Times New Roman" w:eastAsia="Times New Roman" w:hAnsi="Times New Roman"/>
          <w:sz w:val="22"/>
          <w:szCs w:val="22"/>
          <w:color w:val="auto"/>
        </w:rPr>
      </w:pPr>
    </w:p>
    <w:p>
      <w:pPr>
        <w:ind w:firstLine="872"/>
        <w:spacing w:after="0" w:line="251" w:lineRule="auto"/>
        <w:tabs>
          <w:tab w:leader="none" w:pos="175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Optionholder</w:t>
      </w:r>
      <w:r>
        <w:rPr>
          <w:rFonts w:ascii="Times New Roman" w:cs="Times New Roman" w:eastAsia="Times New Roman" w:hAnsi="Times New Roman"/>
          <w:sz w:val="22"/>
          <w:szCs w:val="22"/>
          <w:color w:val="auto"/>
        </w:rPr>
        <w:t>” means a person to whom an Option is granted pursuant to the Plan or, if applicable, such other person who holds an outstanding Option.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86" w:name="page287"/>
    <w:bookmarkEnd w:id="286"/>
    <w:p>
      <w:pPr>
        <w:jc w:val="both"/>
        <w:ind w:firstLine="872"/>
        <w:spacing w:after="0" w:line="231" w:lineRule="auto"/>
        <w:tabs>
          <w:tab w:leader="none" w:pos="184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Ownership</w:t>
      </w:r>
      <w:r>
        <w:rPr>
          <w:rFonts w:ascii="Times New Roman" w:cs="Times New Roman" w:eastAsia="Times New Roman" w:hAnsi="Times New Roman"/>
          <w:sz w:val="22"/>
          <w:szCs w:val="22"/>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0" w:lineRule="exact"/>
        <w:rPr>
          <w:rFonts w:ascii="Times New Roman" w:cs="Times New Roman" w:eastAsia="Times New Roman" w:hAnsi="Times New Roman"/>
          <w:sz w:val="22"/>
          <w:szCs w:val="22"/>
          <w:color w:val="auto"/>
        </w:rPr>
      </w:pPr>
    </w:p>
    <w:p>
      <w:pPr>
        <w:ind w:right="20" w:firstLine="872"/>
        <w:spacing w:after="0" w:line="251" w:lineRule="auto"/>
        <w:tabs>
          <w:tab w:leader="none" w:pos="187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 person to whom a Stock Award is granted pursuant to the Plan or, if applicable, such other person who holds an outstanding Stock Award.</w:t>
      </w:r>
    </w:p>
    <w:p>
      <w:pPr>
        <w:spacing w:after="0" w:line="145" w:lineRule="exact"/>
        <w:rPr>
          <w:rFonts w:ascii="Times New Roman" w:cs="Times New Roman" w:eastAsia="Times New Roman" w:hAnsi="Times New Roman"/>
          <w:sz w:val="22"/>
          <w:szCs w:val="22"/>
          <w:color w:val="auto"/>
        </w:rPr>
      </w:pPr>
    </w:p>
    <w:p>
      <w:pPr>
        <w:ind w:left="1900" w:hanging="1028"/>
        <w:spacing w:after="0"/>
        <w:tabs>
          <w:tab w:leader="none" w:pos="19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Athira Pharma, Inc. 2014 Equity Incentive Plan.</w:t>
      </w:r>
    </w:p>
    <w:p>
      <w:pPr>
        <w:spacing w:after="0" w:line="193" w:lineRule="exact"/>
        <w:rPr>
          <w:sz w:val="20"/>
          <w:szCs w:val="20"/>
          <w:color w:val="auto"/>
        </w:rPr>
      </w:pPr>
    </w:p>
    <w:p>
      <w:pPr>
        <w:ind w:firstLine="872"/>
        <w:spacing w:after="0" w:line="251" w:lineRule="auto"/>
        <w:tabs>
          <w:tab w:leader="none" w:pos="171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means an award of shares of Common Stock which is granted pursuant to the terms and conditions of Section 6(a).</w:t>
      </w:r>
    </w:p>
    <w:p>
      <w:pPr>
        <w:spacing w:after="0" w:line="146" w:lineRule="exact"/>
        <w:rPr>
          <w:sz w:val="20"/>
          <w:szCs w:val="20"/>
          <w:color w:val="auto"/>
        </w:rPr>
      </w:pPr>
    </w:p>
    <w:p>
      <w:pPr>
        <w:jc w:val="both"/>
        <w:ind w:firstLine="872"/>
        <w:spacing w:after="0" w:line="236" w:lineRule="auto"/>
        <w:tabs>
          <w:tab w:leader="none" w:pos="192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 Agreement</w:t>
      </w:r>
      <w:r>
        <w:rPr>
          <w:rFonts w:ascii="Times New Roman" w:cs="Times New Roman" w:eastAsia="Times New Roman" w:hAnsi="Times New Roman"/>
          <w:sz w:val="22"/>
          <w:szCs w:val="22"/>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158" w:lineRule="exact"/>
        <w:rPr>
          <w:rFonts w:ascii="Times New Roman" w:cs="Times New Roman" w:eastAsia="Times New Roman" w:hAnsi="Times New Roman"/>
          <w:sz w:val="22"/>
          <w:szCs w:val="22"/>
          <w:color w:val="auto"/>
        </w:rPr>
      </w:pPr>
    </w:p>
    <w:p>
      <w:pPr>
        <w:ind w:firstLine="872"/>
        <w:spacing w:after="0" w:line="251" w:lineRule="auto"/>
        <w:tabs>
          <w:tab w:leader="none" w:pos="190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w:t>
      </w:r>
      <w:r>
        <w:rPr>
          <w:rFonts w:ascii="Times New Roman" w:cs="Times New Roman" w:eastAsia="Times New Roman" w:hAnsi="Times New Roman"/>
          <w:sz w:val="22"/>
          <w:szCs w:val="22"/>
          <w:color w:val="auto"/>
        </w:rPr>
        <w:t>” means a right to receive shares of Common Stock which is granted pursuant to the terms and conditions of Section 6(b).</w:t>
      </w:r>
    </w:p>
    <w:p>
      <w:pPr>
        <w:spacing w:after="0" w:line="145" w:lineRule="exact"/>
        <w:rPr>
          <w:rFonts w:ascii="Times New Roman" w:cs="Times New Roman" w:eastAsia="Times New Roman" w:hAnsi="Times New Roman"/>
          <w:sz w:val="22"/>
          <w:szCs w:val="22"/>
          <w:color w:val="auto"/>
        </w:rPr>
      </w:pPr>
    </w:p>
    <w:p>
      <w:pPr>
        <w:jc w:val="both"/>
        <w:ind w:firstLine="872"/>
        <w:spacing w:after="0" w:line="236" w:lineRule="auto"/>
        <w:tabs>
          <w:tab w:leader="none" w:pos="184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 Agreement</w:t>
      </w:r>
      <w:r>
        <w:rPr>
          <w:rFonts w:ascii="Times New Roman" w:cs="Times New Roman" w:eastAsia="Times New Roman" w:hAnsi="Times New Roman"/>
          <w:sz w:val="22"/>
          <w:szCs w:val="22"/>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58" w:lineRule="exact"/>
        <w:rPr>
          <w:rFonts w:ascii="Times New Roman" w:cs="Times New Roman" w:eastAsia="Times New Roman" w:hAnsi="Times New Roman"/>
          <w:sz w:val="22"/>
          <w:szCs w:val="22"/>
          <w:color w:val="auto"/>
        </w:rPr>
      </w:pPr>
    </w:p>
    <w:p>
      <w:pPr>
        <w:ind w:left="1940" w:hanging="1068"/>
        <w:spacing w:after="0"/>
        <w:tabs>
          <w:tab w:leader="none" w:pos="19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405</w:t>
      </w:r>
      <w:r>
        <w:rPr>
          <w:rFonts w:ascii="Times New Roman" w:cs="Times New Roman" w:eastAsia="Times New Roman" w:hAnsi="Times New Roman"/>
          <w:sz w:val="22"/>
          <w:szCs w:val="22"/>
          <w:color w:val="auto"/>
        </w:rPr>
        <w:t>” means Rule 405 promulgated under the Securities Act.</w:t>
      </w:r>
    </w:p>
    <w:p>
      <w:pPr>
        <w:spacing w:after="0" w:line="192" w:lineRule="exact"/>
        <w:rPr>
          <w:rFonts w:ascii="Times New Roman" w:cs="Times New Roman" w:eastAsia="Times New Roman" w:hAnsi="Times New Roman"/>
          <w:sz w:val="22"/>
          <w:szCs w:val="22"/>
          <w:color w:val="auto"/>
        </w:rPr>
      </w:pPr>
    </w:p>
    <w:p>
      <w:pPr>
        <w:ind w:left="1880" w:hanging="1008"/>
        <w:spacing w:after="0"/>
        <w:tabs>
          <w:tab w:leader="none" w:pos="18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701</w:t>
      </w:r>
      <w:r>
        <w:rPr>
          <w:rFonts w:ascii="Times New Roman" w:cs="Times New Roman" w:eastAsia="Times New Roman" w:hAnsi="Times New Roman"/>
          <w:sz w:val="22"/>
          <w:szCs w:val="22"/>
          <w:color w:val="auto"/>
        </w:rPr>
        <w:t>” means Rule 701 promulgated under the Securities Act.</w:t>
      </w:r>
    </w:p>
    <w:p>
      <w:pPr>
        <w:spacing w:after="0" w:line="192"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192" w:lineRule="exact"/>
        <w:rPr>
          <w:rFonts w:ascii="Times New Roman" w:cs="Times New Roman" w:eastAsia="Times New Roman" w:hAnsi="Times New Roman"/>
          <w:sz w:val="22"/>
          <w:szCs w:val="22"/>
          <w:color w:val="auto"/>
        </w:rPr>
      </w:pPr>
    </w:p>
    <w:p>
      <w:pPr>
        <w:ind w:firstLine="872"/>
        <w:spacing w:after="0" w:line="251" w:lineRule="auto"/>
        <w:tabs>
          <w:tab w:leader="none" w:pos="184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SAR</w:t>
      </w:r>
      <w:r>
        <w:rPr>
          <w:rFonts w:ascii="Times New Roman" w:cs="Times New Roman" w:eastAsia="Times New Roman" w:hAnsi="Times New Roman"/>
          <w:sz w:val="22"/>
          <w:szCs w:val="22"/>
          <w:color w:val="auto"/>
        </w:rPr>
        <w:t>” means a right to receive the appreciation on Common Stock that is granted pursuant to the terms and conditions of Section 5.</w:t>
      </w:r>
    </w:p>
    <w:p>
      <w:pPr>
        <w:spacing w:after="0" w:line="145" w:lineRule="exact"/>
        <w:rPr>
          <w:rFonts w:ascii="Times New Roman" w:cs="Times New Roman" w:eastAsia="Times New Roman" w:hAnsi="Times New Roman"/>
          <w:sz w:val="22"/>
          <w:szCs w:val="22"/>
          <w:color w:val="auto"/>
        </w:rPr>
      </w:pPr>
    </w:p>
    <w:p>
      <w:pPr>
        <w:jc w:val="both"/>
        <w:ind w:firstLine="872"/>
        <w:spacing w:after="0" w:line="236" w:lineRule="auto"/>
        <w:tabs>
          <w:tab w:leader="none" w:pos="192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 Agreement</w:t>
      </w:r>
      <w:r>
        <w:rPr>
          <w:rFonts w:ascii="Times New Roman" w:cs="Times New Roman" w:eastAsia="Times New Roman" w:hAnsi="Times New Roman"/>
          <w:sz w:val="22"/>
          <w:szCs w:val="22"/>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87" w:name="page288"/>
    <w:bookmarkEnd w:id="287"/>
    <w:p>
      <w:pPr>
        <w:jc w:val="both"/>
        <w:ind w:firstLine="872"/>
        <w:spacing w:after="0" w:line="236" w:lineRule="auto"/>
        <w:tabs>
          <w:tab w:leader="none" w:pos="1843"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Award</w:t>
      </w:r>
      <w:r>
        <w:rPr>
          <w:rFonts w:ascii="Times New Roman" w:cs="Times New Roman" w:eastAsia="Times New Roman" w:hAnsi="Times New Roman"/>
          <w:sz w:val="22"/>
          <w:szCs w:val="22"/>
          <w:color w:val="auto"/>
        </w:rPr>
        <w:t>” means any right to receive Common Stock granted under the Plan, including an Incentive Stock Option, a Nonstatutory Stock Option, a Restricted Stock Award, a Restricted Stock Unit Award, or a Stock Appreciation Right.</w:t>
      </w:r>
    </w:p>
    <w:p>
      <w:pPr>
        <w:spacing w:after="0" w:line="158" w:lineRule="exact"/>
        <w:rPr>
          <w:rFonts w:ascii="Times New Roman" w:cs="Times New Roman" w:eastAsia="Times New Roman" w:hAnsi="Times New Roman"/>
          <w:sz w:val="22"/>
          <w:szCs w:val="22"/>
          <w:color w:val="auto"/>
        </w:rPr>
      </w:pPr>
    </w:p>
    <w:p>
      <w:pPr>
        <w:jc w:val="both"/>
        <w:ind w:firstLine="872"/>
        <w:spacing w:after="0" w:line="236" w:lineRule="auto"/>
        <w:tabs>
          <w:tab w:leader="none" w:pos="2113"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Award Agreement</w:t>
      </w:r>
      <w:r>
        <w:rPr>
          <w:rFonts w:ascii="Times New Roman" w:cs="Times New Roman" w:eastAsia="Times New Roman" w:hAnsi="Times New Roman"/>
          <w:sz w:val="22"/>
          <w:szCs w:val="22"/>
          <w:color w:val="auto"/>
        </w:rPr>
        <w:t>” means a written agreement between the Company and a Participant evidencing the terms and conditions of a Stock Award grant. Each Stock Award Agreement shall be subject to the terms and conditions of the Plan.</w:t>
      </w:r>
    </w:p>
    <w:p>
      <w:pPr>
        <w:spacing w:after="0" w:line="158" w:lineRule="exact"/>
        <w:rPr>
          <w:rFonts w:ascii="Times New Roman" w:cs="Times New Roman" w:eastAsia="Times New Roman" w:hAnsi="Times New Roman"/>
          <w:sz w:val="22"/>
          <w:szCs w:val="22"/>
          <w:color w:val="auto"/>
        </w:rPr>
      </w:pPr>
    </w:p>
    <w:p>
      <w:pPr>
        <w:jc w:val="both"/>
        <w:ind w:firstLine="872"/>
        <w:spacing w:after="0" w:line="235" w:lineRule="auto"/>
        <w:tabs>
          <w:tab w:leader="none" w:pos="1939"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Subsidiary</w:t>
      </w:r>
      <w:r>
        <w:rPr>
          <w:rFonts w:ascii="Times New Roman" w:cs="Times New Roman" w:eastAsia="Times New Roman" w:hAnsi="Times New Roman"/>
          <w:sz w:val="21"/>
          <w:szCs w:val="21"/>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w:t>
      </w:r>
    </w:p>
    <w:p>
      <w:pPr>
        <w:spacing w:after="0" w:line="2" w:lineRule="exact"/>
        <w:rPr>
          <w:rFonts w:ascii="Times New Roman" w:cs="Times New Roman" w:eastAsia="Times New Roman" w:hAnsi="Times New Roman"/>
          <w:sz w:val="21"/>
          <w:szCs w:val="21"/>
          <w:color w:val="auto"/>
        </w:rPr>
      </w:pPr>
    </w:p>
    <w:p>
      <w:pPr>
        <w:ind w:firstLine="8"/>
        <w:spacing w:after="0" w:line="231" w:lineRule="auto"/>
        <w:tabs>
          <w:tab w:leader="none" w:pos="33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limited liability company or other entity in which the Company has a direct or indirect interest (whether in the form of voting or participation in profits or capital contribution) of more than fifty percent (50%).</w:t>
      </w:r>
    </w:p>
    <w:p>
      <w:pPr>
        <w:spacing w:after="0" w:line="158" w:lineRule="exact"/>
        <w:rPr>
          <w:rFonts w:ascii="Times New Roman" w:cs="Times New Roman" w:eastAsia="Times New Roman" w:hAnsi="Times New Roman"/>
          <w:sz w:val="22"/>
          <w:szCs w:val="22"/>
          <w:color w:val="auto"/>
        </w:rPr>
      </w:pPr>
    </w:p>
    <w:p>
      <w:pPr>
        <w:jc w:val="both"/>
        <w:ind w:firstLine="872"/>
        <w:spacing w:after="0" w:line="236" w:lineRule="auto"/>
        <w:tabs>
          <w:tab w:leader="none" w:pos="1871"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Ten Percent Shareholder</w:t>
      </w:r>
      <w:r>
        <w:rPr>
          <w:rFonts w:ascii="Times New Roman" w:cs="Times New Roman" w:eastAsia="Times New Roman" w:hAnsi="Times New Roman"/>
          <w:sz w:val="22"/>
          <w:szCs w:val="22"/>
          <w:color w:val="auto"/>
        </w:rPr>
        <w:t>” means a person who Owns (or is deemed to Own pursuant to Section 424(d) of the Code) stock possessing more than ten percent (10%) of the total combined voting power of all classes of stock of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552" w:right="3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ATHIRA PHARMA,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ind w:left="4060"/>
        <w:spacing w:after="0"/>
        <w:rPr>
          <w:sz w:val="20"/>
          <w:szCs w:val="20"/>
          <w:color w:val="auto"/>
        </w:rPr>
      </w:pPr>
      <w:r>
        <w:rPr>
          <w:rFonts w:ascii="Times New Roman" w:cs="Times New Roman" w:eastAsia="Times New Roman" w:hAnsi="Times New Roman"/>
          <w:sz w:val="20"/>
          <w:szCs w:val="20"/>
          <w:b w:val="1"/>
          <w:bCs w:val="1"/>
          <w:color w:val="auto"/>
        </w:rPr>
        <w:t>(2014 EQUITY INCENTIVE PLAN)</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Athira Pharma,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2014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Optionholder:</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Date of Grant:</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Type of Grant:</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Number of Shares Subject to Option: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Exercise Price (Per Share):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Total Exercise Price: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Expiration Date: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Exercise Schedule: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Vesting Schedule: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Payment:</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Additional Terms/Acknowledgements: </w:t>
      </w:r>
      <w:r>
        <w:rPr>
          <w:rFonts w:ascii="Times New Roman" w:cs="Times New Roman" w:eastAsia="Times New Roman" w:hAnsi="Times New Roman"/>
          <w:sz w:val="20"/>
          <w:szCs w:val="20"/>
          <w:color w:val="auto"/>
        </w:rPr>
        <w:t>The Optionholder acknowledges receipt of, and understands and agrees to, this Stock Option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the Option Agreement and the Plan. Optionholder acknowledges and agrees that this Stock Option Grant Notice and the Option Agreement may not be modified, amended or revised except in a writing signed by Optionholder and a duly authorized officer of the Company. Optionholder further acknowledges that as of the Date of Grant, this Stock Option Grant Notice, the Option Agreement, and the Plan set forth the entire understanding between Optionholder and the Company regarding the acquisition of stock in the Company and supersede all prior oral and written agreements, promises and/or representations on that subject with the exception of (i) options previously granted and delivered to Optionholder under the Plan, and (ii) the following agreements only: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Agreement, 2014 Equity Incentive Plan and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4946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89" w:name="page290"/>
    <w:bookmarkEnd w:id="28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20"/>
          <w:szCs w:val="20"/>
          <w:b w:val="1"/>
          <w:bCs w:val="1"/>
          <w:color w:val="auto"/>
        </w:rPr>
        <w:t xml:space="preserve"> 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2</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4946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2" w:right="1440"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THIRA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2014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 OR</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ONSTATUTORY</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w:t>
      </w:r>
    </w:p>
    <w:p>
      <w:pPr>
        <w:spacing w:after="0" w:line="190" w:lineRule="exact"/>
        <w:rPr>
          <w:sz w:val="20"/>
          <w:szCs w:val="20"/>
          <w:color w:val="auto"/>
        </w:rPr>
      </w:pPr>
    </w:p>
    <w:p>
      <w:pPr>
        <w:jc w:val="both"/>
        <w:ind w:right="20" w:firstLine="832"/>
        <w:spacing w:after="0" w:line="250" w:lineRule="auto"/>
        <w:rPr>
          <w:sz w:val="20"/>
          <w:szCs w:val="20"/>
          <w:color w:val="auto"/>
        </w:rPr>
      </w:pPr>
      <w:r>
        <w:rPr>
          <w:rFonts w:ascii="Times New Roman" w:cs="Times New Roman" w:eastAsia="Times New Roman" w:hAnsi="Times New Roman"/>
          <w:sz w:val="20"/>
          <w:szCs w:val="20"/>
          <w:color w:val="auto"/>
        </w:rPr>
        <w:t>Pursuant to your Stock Option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this Option Agreement, Athira Pharma,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an option under its 2014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the number of shares of the Company’s Common Stock indicated in your Grant Notice at the exercise price indicated in your Grant Notice. Defined terms not explicitly defined in this Option Agreement but defined in the Plan shall have the same definitions as in the Plan.</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The details of your option are as follows:</w:t>
      </w:r>
    </w:p>
    <w:p>
      <w:pPr>
        <w:spacing w:after="0" w:line="212" w:lineRule="exact"/>
        <w:rPr>
          <w:sz w:val="20"/>
          <w:szCs w:val="20"/>
          <w:color w:val="auto"/>
        </w:rPr>
      </w:pPr>
    </w:p>
    <w:p>
      <w:pPr>
        <w:ind w:firstLine="840"/>
        <w:spacing w:after="0" w:line="273" w:lineRule="auto"/>
        <w:tabs>
          <w:tab w:leader="none" w:pos="1628" w:val="left"/>
        </w:tabs>
        <w:numPr>
          <w:ilvl w:val="1"/>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20"/>
          <w:szCs w:val="20"/>
          <w:color w:val="auto"/>
        </w:rPr>
        <w:t>. Subject to the limitations contained herein, your option will vest as provided in your Grant Notice,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vesting will cease upon the termination of your Continuous Service.</w:t>
      </w:r>
    </w:p>
    <w:p>
      <w:pPr>
        <w:spacing w:after="0" w:line="151" w:lineRule="exact"/>
        <w:rPr>
          <w:rFonts w:ascii="Times New Roman" w:cs="Times New Roman" w:eastAsia="Times New Roman" w:hAnsi="Times New Roman"/>
          <w:sz w:val="20"/>
          <w:szCs w:val="20"/>
          <w:b w:val="1"/>
          <w:bCs w:val="1"/>
          <w:color w:val="auto"/>
        </w:rPr>
      </w:pPr>
    </w:p>
    <w:p>
      <w:pPr>
        <w:jc w:val="both"/>
        <w:ind w:firstLine="840"/>
        <w:spacing w:after="0" w:line="256" w:lineRule="auto"/>
        <w:tabs>
          <w:tab w:leader="none" w:pos="1628" w:val="left"/>
        </w:tabs>
        <w:numPr>
          <w:ilvl w:val="1"/>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UMBER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HARES AND</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RICE</w:t>
      </w:r>
      <w:r>
        <w:rPr>
          <w:rFonts w:ascii="Times New Roman" w:cs="Times New Roman" w:eastAsia="Times New Roman" w:hAnsi="Times New Roman"/>
          <w:sz w:val="20"/>
          <w:szCs w:val="20"/>
          <w:color w:val="auto"/>
        </w:rPr>
        <w:t>. The number of shares of Common Stock subject to your option and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price per share referenced in your Grant Notice may be adjusted from time to time for Capitalization Adjustments, as provided in the Plan.</w:t>
      </w:r>
    </w:p>
    <w:p>
      <w:pPr>
        <w:spacing w:after="0" w:line="168" w:lineRule="exact"/>
        <w:rPr>
          <w:rFonts w:ascii="Times New Roman" w:cs="Times New Roman" w:eastAsia="Times New Roman" w:hAnsi="Times New Roman"/>
          <w:sz w:val="20"/>
          <w:szCs w:val="20"/>
          <w:b w:val="1"/>
          <w:bCs w:val="1"/>
          <w:color w:val="auto"/>
        </w:rPr>
      </w:pPr>
    </w:p>
    <w:p>
      <w:pPr>
        <w:jc w:val="both"/>
        <w:ind w:firstLine="840"/>
        <w:spacing w:after="0" w:line="250" w:lineRule="auto"/>
        <w:tabs>
          <w:tab w:leader="none" w:pos="1628" w:val="left"/>
        </w:tabs>
        <w:numPr>
          <w:ilvl w:val="1"/>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ESTRICTION FOR</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XEMPT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MPLOYEES</w:t>
      </w:r>
      <w:r>
        <w:rPr>
          <w:rFonts w:ascii="Times New Roman" w:cs="Times New Roman" w:eastAsia="Times New Roman" w:hAnsi="Times New Roman"/>
          <w:sz w:val="20"/>
          <w:szCs w:val="20"/>
          <w:color w:val="auto"/>
        </w:rPr>
        <w:t>. In the event that you are an Employee eligible for overtime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compensation under the Fair Labor Standards Act of 1938, as amended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i w:val="1"/>
          <w:iCs w:val="1"/>
          <w:color w:val="auto"/>
        </w:rPr>
        <w:t>“Non-Exempt Employee”),</w:t>
      </w:r>
      <w:r>
        <w:rPr>
          <w:rFonts w:ascii="Times New Roman" w:cs="Times New Roman" w:eastAsia="Times New Roman" w:hAnsi="Times New Roman"/>
          <w:sz w:val="20"/>
          <w:szCs w:val="20"/>
          <w:color w:val="auto"/>
        </w:rPr>
        <w:t xml:space="preserve"> you may not exercise your option until you have completed at least six (6) months of Continuous Service measured from the Date of Grant specified in your Grant Notice, notwithstanding any other provision of your option.</w:t>
      </w:r>
    </w:p>
    <w:p>
      <w:pPr>
        <w:spacing w:after="0" w:line="175" w:lineRule="exact"/>
        <w:rPr>
          <w:rFonts w:ascii="Times New Roman" w:cs="Times New Roman" w:eastAsia="Times New Roman" w:hAnsi="Times New Roman"/>
          <w:sz w:val="20"/>
          <w:szCs w:val="20"/>
          <w:b w:val="1"/>
          <w:bCs w:val="1"/>
          <w:color w:val="auto"/>
        </w:rPr>
      </w:pPr>
    </w:p>
    <w:p>
      <w:pPr>
        <w:jc w:val="both"/>
        <w:ind w:firstLine="840"/>
        <w:spacing w:after="0" w:line="266" w:lineRule="auto"/>
        <w:tabs>
          <w:tab w:leader="none" w:pos="1628" w:val="left"/>
        </w:tabs>
        <w:numPr>
          <w:ilvl w:val="1"/>
          <w:numId w:val="1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2"/>
          <w:szCs w:val="12"/>
          <w:b w:val="1"/>
          <w:bCs w:val="1"/>
          <w:color w:val="auto"/>
        </w:rPr>
        <w:t>XERCISE</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2"/>
          <w:szCs w:val="12"/>
          <w:b w:val="1"/>
          <w:bCs w:val="1"/>
          <w:color w:val="auto"/>
        </w:rPr>
        <w:t>RIOR TO</w:t>
      </w:r>
      <w:r>
        <w:rPr>
          <w:rFonts w:ascii="Times New Roman" w:cs="Times New Roman" w:eastAsia="Times New Roman" w:hAnsi="Times New Roman"/>
          <w:sz w:val="19"/>
          <w:szCs w:val="19"/>
          <w:b w:val="1"/>
          <w:bCs w:val="1"/>
          <w:color w:val="auto"/>
        </w:rPr>
        <w:t xml:space="preserve"> V</w:t>
      </w:r>
      <w:r>
        <w:rPr>
          <w:rFonts w:ascii="Times New Roman" w:cs="Times New Roman" w:eastAsia="Times New Roman" w:hAnsi="Times New Roman"/>
          <w:sz w:val="12"/>
          <w:szCs w:val="12"/>
          <w:b w:val="1"/>
          <w:bCs w:val="1"/>
          <w:color w:val="auto"/>
        </w:rPr>
        <w:t>ESTING</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2"/>
          <w:szCs w:val="12"/>
          <w:b w:val="1"/>
          <w:bCs w:val="1"/>
          <w:color w:val="auto"/>
        </w:rPr>
        <w:t>ARLY</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2"/>
          <w:szCs w:val="12"/>
          <w:b w:val="1"/>
          <w:bCs w:val="1"/>
          <w:color w:val="auto"/>
        </w:rPr>
        <w:t>XERCISE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If permitted in your Grant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“Exercise Schedule”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indicates that “Early Exercise” of your option is permitted) and subject to the provisions of your option, you may elect at any time that is both</w:t>
      </w:r>
    </w:p>
    <w:p>
      <w:pPr>
        <w:ind w:firstLine="8"/>
        <w:spacing w:after="0" w:line="246" w:lineRule="auto"/>
        <w:tabs>
          <w:tab w:leader="none" w:pos="24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period of your Continuous Service and (ii) during the term of your option, to exercise all or part of your option, including the nonvested portion of your option;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w:t>
      </w:r>
    </w:p>
    <w:p>
      <w:pPr>
        <w:spacing w:after="0" w:line="181" w:lineRule="exact"/>
        <w:rPr>
          <w:rFonts w:ascii="Times New Roman" w:cs="Times New Roman" w:eastAsia="Times New Roman" w:hAnsi="Times New Roman"/>
          <w:sz w:val="20"/>
          <w:szCs w:val="20"/>
          <w:color w:val="auto"/>
        </w:rPr>
      </w:pPr>
    </w:p>
    <w:p>
      <w:pPr>
        <w:ind w:firstLine="1671"/>
        <w:spacing w:after="0" w:line="269" w:lineRule="auto"/>
        <w:tabs>
          <w:tab w:leader="none" w:pos="2542" w:val="left"/>
        </w:tabs>
        <w:numPr>
          <w:ilvl w:val="2"/>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partial exercise of your option shall be deemed to cover first vested shares of Common Stock and then the earliest vesting installment of unvested shares of Common Stock;</w:t>
      </w:r>
    </w:p>
    <w:p>
      <w:pPr>
        <w:spacing w:after="0" w:line="159" w:lineRule="exact"/>
        <w:rPr>
          <w:rFonts w:ascii="Times New Roman" w:cs="Times New Roman" w:eastAsia="Times New Roman" w:hAnsi="Times New Roman"/>
          <w:sz w:val="20"/>
          <w:szCs w:val="20"/>
          <w:b w:val="1"/>
          <w:bCs w:val="1"/>
          <w:color w:val="auto"/>
        </w:rPr>
      </w:pPr>
    </w:p>
    <w:p>
      <w:pPr>
        <w:jc w:val="both"/>
        <w:ind w:firstLine="1671"/>
        <w:spacing w:after="0" w:line="254" w:lineRule="auto"/>
        <w:tabs>
          <w:tab w:leader="none" w:pos="2553" w:val="left"/>
        </w:tabs>
        <w:numPr>
          <w:ilvl w:val="2"/>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174" w:lineRule="exact"/>
        <w:rPr>
          <w:rFonts w:ascii="Times New Roman" w:cs="Times New Roman" w:eastAsia="Times New Roman" w:hAnsi="Times New Roman"/>
          <w:sz w:val="20"/>
          <w:szCs w:val="20"/>
          <w:b w:val="1"/>
          <w:bCs w:val="1"/>
          <w:color w:val="auto"/>
        </w:rPr>
      </w:pPr>
    </w:p>
    <w:p>
      <w:pPr>
        <w:ind w:right="20" w:firstLine="1671"/>
        <w:spacing w:after="0" w:line="269" w:lineRule="auto"/>
        <w:tabs>
          <w:tab w:leader="none" w:pos="2531" w:val="left"/>
        </w:tabs>
        <w:numPr>
          <w:ilvl w:val="2"/>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shall enter into the Company’s form of Early Exercise Stock Purchase Agreement with a vesting schedule that will result in the same vesting as if no early exercise had occurred; and</w:t>
      </w:r>
    </w:p>
    <w:p>
      <w:pPr>
        <w:spacing w:after="0" w:line="159" w:lineRule="exact"/>
        <w:rPr>
          <w:rFonts w:ascii="Times New Roman" w:cs="Times New Roman" w:eastAsia="Times New Roman" w:hAnsi="Times New Roman"/>
          <w:sz w:val="20"/>
          <w:szCs w:val="20"/>
          <w:b w:val="1"/>
          <w:bCs w:val="1"/>
          <w:color w:val="auto"/>
        </w:rPr>
      </w:pPr>
    </w:p>
    <w:p>
      <w:pPr>
        <w:jc w:val="both"/>
        <w:ind w:firstLine="1671"/>
        <w:spacing w:after="0" w:line="243" w:lineRule="auto"/>
        <w:tabs>
          <w:tab w:leader="none" w:pos="2553" w:val="left"/>
        </w:tabs>
        <w:numPr>
          <w:ilvl w:val="2"/>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3</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91" w:name="page292"/>
    <w:bookmarkEnd w:id="291"/>
    <w:p>
      <w:pPr>
        <w:jc w:val="both"/>
        <w:ind w:firstLine="840"/>
        <w:spacing w:after="0" w:line="256" w:lineRule="auto"/>
        <w:tabs>
          <w:tab w:leader="none" w:pos="1628"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ETHOD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AYMENT</w:t>
      </w:r>
      <w:r>
        <w:rPr>
          <w:rFonts w:ascii="Times New Roman" w:cs="Times New Roman" w:eastAsia="Times New Roman" w:hAnsi="Times New Roman"/>
          <w:sz w:val="20"/>
          <w:szCs w:val="20"/>
          <w:color w:val="auto"/>
        </w:rPr>
        <w:t>. Payment of the exercise price is due in full upon exercise of all or any part of your option.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elect to make payment of the exercise price in cash or by check or in any other manner permitted by your Grant Notice, which may include one or more of the following:</w:t>
      </w:r>
    </w:p>
    <w:p>
      <w:pPr>
        <w:spacing w:after="0" w:line="168" w:lineRule="exact"/>
        <w:rPr>
          <w:rFonts w:ascii="Times New Roman" w:cs="Times New Roman" w:eastAsia="Times New Roman" w:hAnsi="Times New Roman"/>
          <w:sz w:val="20"/>
          <w:szCs w:val="20"/>
          <w:b w:val="1"/>
          <w:bCs w:val="1"/>
          <w:color w:val="auto"/>
        </w:rPr>
      </w:pPr>
    </w:p>
    <w:p>
      <w:pPr>
        <w:jc w:val="both"/>
        <w:ind w:firstLine="1671"/>
        <w:spacing w:after="0" w:line="250" w:lineRule="auto"/>
        <w:tabs>
          <w:tab w:leader="none" w:pos="2542" w:val="left"/>
        </w:tabs>
        <w:numPr>
          <w:ilvl w:val="1"/>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Provided that at the time of exercise the Common Stock is publicly traded and quoted regularly in </w:t>
      </w:r>
      <w:r>
        <w:rPr>
          <w:rFonts w:ascii="Times New Roman" w:cs="Times New Roman" w:eastAsia="Times New Roman" w:hAnsi="Times New Roman"/>
          <w:sz w:val="20"/>
          <w:szCs w:val="20"/>
          <w:i w:val="1"/>
          <w:iCs w:val="1"/>
          <w:color w:val="auto"/>
        </w:rPr>
        <w:t>The Wall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Street Journal</w:t>
      </w:r>
      <w:r>
        <w:rPr>
          <w:rFonts w:ascii="Times New Roman" w:cs="Times New Roman" w:eastAsia="Times New Roman" w:hAnsi="Times New Roman"/>
          <w:sz w:val="20"/>
          <w:szCs w:val="20"/>
          <w:color w:val="auto"/>
        </w:rPr>
        <w:t>, pursuant to a program developed under Regulation T as promulgated by the Federal Reserve Board that, prior to the issuance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Common Stock,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20"/>
          <w:szCs w:val="20"/>
          <w:b w:val="1"/>
          <w:bCs w:val="1"/>
          <w:color w:val="auto"/>
        </w:rPr>
      </w:pPr>
    </w:p>
    <w:p>
      <w:pPr>
        <w:jc w:val="both"/>
        <w:ind w:firstLine="1671"/>
        <w:spacing w:after="0" w:line="247" w:lineRule="auto"/>
        <w:tabs>
          <w:tab w:leader="none" w:pos="2553" w:val="left"/>
        </w:tabs>
        <w:numPr>
          <w:ilvl w:val="1"/>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Provided that at the time of exercise the Common Stock is publicly traded and quoted regularly in </w:t>
      </w:r>
      <w:r>
        <w:rPr>
          <w:rFonts w:ascii="Times New Roman" w:cs="Times New Roman" w:eastAsia="Times New Roman" w:hAnsi="Times New Roman"/>
          <w:sz w:val="20"/>
          <w:szCs w:val="20"/>
          <w:i w:val="1"/>
          <w:iCs w:val="1"/>
          <w:color w:val="auto"/>
        </w:rPr>
        <w:t>The Wall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Street Journal</w:t>
      </w:r>
      <w:r>
        <w:rPr>
          <w:rFonts w:ascii="Times New Roman" w:cs="Times New Roman" w:eastAsia="Times New Roman" w:hAnsi="Times New Roman"/>
          <w:sz w:val="20"/>
          <w:szCs w:val="20"/>
          <w:color w:val="auto"/>
        </w:rPr>
        <w:t>, by delivery to the Company (either by actual delivery or attestation) of already-owned shares of Common Stock that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owned free and clear of any liens, claims, encumbrances or security interests, and that are valued at Fair Market Value on the date of exercise.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80" w:lineRule="exact"/>
        <w:rPr>
          <w:rFonts w:ascii="Times New Roman" w:cs="Times New Roman" w:eastAsia="Times New Roman" w:hAnsi="Times New Roman"/>
          <w:sz w:val="20"/>
          <w:szCs w:val="20"/>
          <w:b w:val="1"/>
          <w:bCs w:val="1"/>
          <w:color w:val="auto"/>
        </w:rPr>
      </w:pPr>
    </w:p>
    <w:p>
      <w:pPr>
        <w:ind w:left="1640" w:hanging="800"/>
        <w:spacing w:after="0"/>
        <w:tabs>
          <w:tab w:leader="none" w:pos="164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HOLE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color w:val="auto"/>
        </w:rPr>
        <w:t>. You may exercise your option only for whole shares of Common Stock.</w:t>
      </w:r>
    </w:p>
    <w:p>
      <w:pPr>
        <w:spacing w:after="0" w:line="215" w:lineRule="exact"/>
        <w:rPr>
          <w:rFonts w:ascii="Times New Roman" w:cs="Times New Roman" w:eastAsia="Times New Roman" w:hAnsi="Times New Roman"/>
          <w:sz w:val="20"/>
          <w:szCs w:val="20"/>
          <w:b w:val="1"/>
          <w:bCs w:val="1"/>
          <w:color w:val="auto"/>
        </w:rPr>
      </w:pPr>
    </w:p>
    <w:p>
      <w:pPr>
        <w:jc w:val="both"/>
        <w:ind w:firstLine="840"/>
        <w:spacing w:after="0" w:line="246" w:lineRule="auto"/>
        <w:tabs>
          <w:tab w:leader="none" w:pos="1628"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ECURITIES</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OMPLIANCE</w:t>
      </w:r>
      <w:r>
        <w:rPr>
          <w:rFonts w:ascii="Times New Roman" w:cs="Times New Roman" w:eastAsia="Times New Roman" w:hAnsi="Times New Roman"/>
          <w:sz w:val="20"/>
          <w:szCs w:val="20"/>
          <w:color w:val="auto"/>
        </w:rPr>
        <w:t>. Notwithstanding anything to the contrary contained herein, you may not exercise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unless 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78" w:lineRule="exact"/>
        <w:rPr>
          <w:rFonts w:ascii="Times New Roman" w:cs="Times New Roman" w:eastAsia="Times New Roman" w:hAnsi="Times New Roman"/>
          <w:sz w:val="20"/>
          <w:szCs w:val="20"/>
          <w:b w:val="1"/>
          <w:bCs w:val="1"/>
          <w:color w:val="auto"/>
        </w:rPr>
      </w:pPr>
    </w:p>
    <w:p>
      <w:pPr>
        <w:ind w:right="20" w:firstLine="840"/>
        <w:spacing w:after="0" w:line="273" w:lineRule="auto"/>
        <w:tabs>
          <w:tab w:leader="none" w:pos="1628"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20"/>
          <w:szCs w:val="20"/>
          <w:color w:val="auto"/>
        </w:rPr>
        <w:t>. You may not exercise your option before the commencement or after the expiration of its term. The term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commences on the Date of Grant and expires upon the earliest of the following:</w:t>
      </w:r>
    </w:p>
    <w:p>
      <w:pPr>
        <w:spacing w:after="0" w:line="155" w:lineRule="exact"/>
        <w:rPr>
          <w:rFonts w:ascii="Times New Roman" w:cs="Times New Roman" w:eastAsia="Times New Roman" w:hAnsi="Times New Roman"/>
          <w:sz w:val="20"/>
          <w:szCs w:val="20"/>
          <w:b w:val="1"/>
          <w:bCs w:val="1"/>
          <w:color w:val="auto"/>
        </w:rPr>
      </w:pPr>
    </w:p>
    <w:p>
      <w:pPr>
        <w:jc w:val="both"/>
        <w:ind w:firstLine="1671"/>
        <w:spacing w:after="0" w:line="249" w:lineRule="auto"/>
        <w:tabs>
          <w:tab w:leader="none" w:pos="2542" w:val="left"/>
        </w:tabs>
        <w:numPr>
          <w:ilvl w:val="1"/>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three (3) months after the termination of your Continuous Service for any reason other than your Disability or death, provided that if during any part of such three (3) month period your option is not exercisable solely because of the condition set forth in the section above relating to “Securities Law Compliance,” your option shall not expire until the earlier of the Expiration Date or until it shall have been exercisable for an aggregate period of three (3) months after the termination of your Continuous Service;</w:t>
      </w:r>
    </w:p>
    <w:p>
      <w:pPr>
        <w:spacing w:after="0" w:line="179" w:lineRule="exact"/>
        <w:rPr>
          <w:rFonts w:ascii="Times New Roman" w:cs="Times New Roman" w:eastAsia="Times New Roman" w:hAnsi="Times New Roman"/>
          <w:sz w:val="20"/>
          <w:szCs w:val="20"/>
          <w:b w:val="1"/>
          <w:bCs w:val="1"/>
          <w:color w:val="auto"/>
        </w:rPr>
      </w:pPr>
    </w:p>
    <w:p>
      <w:pPr>
        <w:ind w:left="2560" w:hanging="889"/>
        <w:spacing w:after="0"/>
        <w:tabs>
          <w:tab w:leader="none" w:pos="2560" w:val="left"/>
        </w:tabs>
        <w:numPr>
          <w:ilvl w:val="1"/>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twelve (12) months after the termination of your Continuous Service due to your Disability;</w:t>
      </w:r>
    </w:p>
    <w:p>
      <w:pPr>
        <w:spacing w:after="0" w:line="215" w:lineRule="exact"/>
        <w:rPr>
          <w:rFonts w:ascii="Times New Roman" w:cs="Times New Roman" w:eastAsia="Times New Roman" w:hAnsi="Times New Roman"/>
          <w:sz w:val="20"/>
          <w:szCs w:val="20"/>
          <w:b w:val="1"/>
          <w:bCs w:val="1"/>
          <w:color w:val="auto"/>
        </w:rPr>
      </w:pPr>
    </w:p>
    <w:p>
      <w:pPr>
        <w:ind w:firstLine="1671"/>
        <w:spacing w:after="0" w:line="269" w:lineRule="auto"/>
        <w:tabs>
          <w:tab w:leader="none" w:pos="2531" w:val="left"/>
        </w:tabs>
        <w:numPr>
          <w:ilvl w:val="1"/>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eighteen (18) months after your death if you die either during your Continuous Service or within three (3) months after your Continuous Service terminates;</w:t>
      </w:r>
    </w:p>
    <w:p>
      <w:pPr>
        <w:spacing w:after="0" w:line="159" w:lineRule="exact"/>
        <w:rPr>
          <w:rFonts w:ascii="Times New Roman" w:cs="Times New Roman" w:eastAsia="Times New Roman" w:hAnsi="Times New Roman"/>
          <w:sz w:val="20"/>
          <w:szCs w:val="20"/>
          <w:b w:val="1"/>
          <w:bCs w:val="1"/>
          <w:color w:val="auto"/>
        </w:rPr>
      </w:pPr>
    </w:p>
    <w:p>
      <w:pPr>
        <w:ind w:left="2560" w:hanging="889"/>
        <w:spacing w:after="0"/>
        <w:tabs>
          <w:tab w:leader="none" w:pos="2560" w:val="left"/>
        </w:tabs>
        <w:numPr>
          <w:ilvl w:val="1"/>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Expiration Date indicated in your Grant Notice; or</w:t>
      </w:r>
    </w:p>
    <w:p>
      <w:pPr>
        <w:spacing w:after="0" w:line="215" w:lineRule="exact"/>
        <w:rPr>
          <w:rFonts w:ascii="Times New Roman" w:cs="Times New Roman" w:eastAsia="Times New Roman" w:hAnsi="Times New Roman"/>
          <w:sz w:val="20"/>
          <w:szCs w:val="20"/>
          <w:b w:val="1"/>
          <w:bCs w:val="1"/>
          <w:color w:val="auto"/>
        </w:rPr>
      </w:pPr>
    </w:p>
    <w:p>
      <w:pPr>
        <w:ind w:left="2540" w:hanging="869"/>
        <w:spacing w:after="0"/>
        <w:tabs>
          <w:tab w:leader="none" w:pos="2540" w:val="left"/>
        </w:tabs>
        <w:numPr>
          <w:ilvl w:val="1"/>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day before the tenth (10th) anniversary of the Date of Grant.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92" w:name="page293"/>
    <w:bookmarkEnd w:id="292"/>
    <w:p>
      <w:pPr>
        <w:jc w:val="both"/>
        <w:ind w:firstLine="832"/>
        <w:spacing w:after="0" w:line="244" w:lineRule="auto"/>
        <w:rPr>
          <w:sz w:val="20"/>
          <w:szCs w:val="20"/>
          <w:color w:val="auto"/>
        </w:rPr>
      </w:pPr>
      <w:r>
        <w:rPr>
          <w:rFonts w:ascii="Times New Roman" w:cs="Times New Roman" w:eastAsia="Times New Roman" w:hAnsi="Times New Roman"/>
          <w:sz w:val="20"/>
          <w:szCs w:val="20"/>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82" w:lineRule="exact"/>
        <w:rPr>
          <w:sz w:val="20"/>
          <w:szCs w:val="20"/>
          <w:color w:val="auto"/>
        </w:rPr>
      </w:pPr>
    </w:p>
    <w:p>
      <w:pPr>
        <w:ind w:left="1640" w:hanging="800"/>
        <w:spacing w:after="0"/>
        <w:tabs>
          <w:tab w:leader="none" w:pos="1640"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671"/>
        <w:spacing w:after="0" w:line="249" w:lineRule="auto"/>
        <w:tabs>
          <w:tab w:leader="none" w:pos="2542" w:val="left"/>
        </w:tabs>
        <w:numPr>
          <w:ilvl w:val="1"/>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179" w:lineRule="exact"/>
        <w:rPr>
          <w:rFonts w:ascii="Times New Roman" w:cs="Times New Roman" w:eastAsia="Times New Roman" w:hAnsi="Times New Roman"/>
          <w:sz w:val="20"/>
          <w:szCs w:val="20"/>
          <w:b w:val="1"/>
          <w:bCs w:val="1"/>
          <w:color w:val="auto"/>
        </w:rPr>
      </w:pPr>
    </w:p>
    <w:p>
      <w:pPr>
        <w:jc w:val="both"/>
        <w:ind w:firstLine="1671"/>
        <w:spacing w:after="0" w:line="249" w:lineRule="auto"/>
        <w:tabs>
          <w:tab w:leader="none" w:pos="2553" w:val="left"/>
        </w:tabs>
        <w:numPr>
          <w:ilvl w:val="1"/>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179" w:lineRule="exact"/>
        <w:rPr>
          <w:rFonts w:ascii="Times New Roman" w:cs="Times New Roman" w:eastAsia="Times New Roman" w:hAnsi="Times New Roman"/>
          <w:sz w:val="20"/>
          <w:szCs w:val="20"/>
          <w:b w:val="1"/>
          <w:bCs w:val="1"/>
          <w:color w:val="auto"/>
        </w:rPr>
      </w:pPr>
    </w:p>
    <w:p>
      <w:pPr>
        <w:jc w:val="both"/>
        <w:ind w:firstLine="1671"/>
        <w:spacing w:after="0" w:line="249" w:lineRule="auto"/>
        <w:tabs>
          <w:tab w:leader="none" w:pos="2531" w:val="left"/>
        </w:tabs>
        <w:numPr>
          <w:ilvl w:val="1"/>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pacing w:after="0" w:line="179" w:lineRule="exact"/>
        <w:rPr>
          <w:rFonts w:ascii="Times New Roman" w:cs="Times New Roman" w:eastAsia="Times New Roman" w:hAnsi="Times New Roman"/>
          <w:sz w:val="20"/>
          <w:szCs w:val="20"/>
          <w:b w:val="1"/>
          <w:bCs w:val="1"/>
          <w:color w:val="auto"/>
        </w:rPr>
      </w:pPr>
    </w:p>
    <w:p>
      <w:pPr>
        <w:jc w:val="both"/>
        <w:ind w:firstLine="1671"/>
        <w:spacing w:after="0" w:line="242" w:lineRule="auto"/>
        <w:tabs>
          <w:tab w:leader="none" w:pos="2553" w:val="left"/>
        </w:tabs>
        <w:numPr>
          <w:ilvl w:val="1"/>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 (the “</w:t>
      </w:r>
      <w:r>
        <w:rPr>
          <w:rFonts w:ascii="Times New Roman" w:cs="Times New Roman" w:eastAsia="Times New Roman" w:hAnsi="Times New Roman"/>
          <w:sz w:val="20"/>
          <w:szCs w:val="20"/>
          <w:b w:val="1"/>
          <w:bCs w:val="1"/>
          <w:i w:val="1"/>
          <w:iCs w:val="1"/>
          <w:color w:val="auto"/>
        </w:rPr>
        <w:t>Lock-Up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nothing contained in this section shall prevent the exercise of a repurchase option, if any, in favor of the 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185" w:lineRule="exact"/>
        <w:rPr>
          <w:rFonts w:ascii="Times New Roman" w:cs="Times New Roman" w:eastAsia="Times New Roman" w:hAnsi="Times New Roman"/>
          <w:sz w:val="20"/>
          <w:szCs w:val="20"/>
          <w:b w:val="1"/>
          <w:bCs w:val="1"/>
          <w:color w:val="auto"/>
        </w:rPr>
      </w:pPr>
    </w:p>
    <w:p>
      <w:pPr>
        <w:ind w:left="1740" w:hanging="900"/>
        <w:spacing w:after="0"/>
        <w:tabs>
          <w:tab w:leader="none" w:pos="1740"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20"/>
          <w:szCs w:val="20"/>
          <w:color w:val="auto"/>
        </w:rPr>
        <w:t>.  Your option is not transferable, except by will or by the laws of descent and distribution, and is</w:t>
      </w:r>
    </w:p>
    <w:p>
      <w:pPr>
        <w:spacing w:after="0" w:line="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exercisable during your life only by you. Notwithstanding the foregoing, by delivering written notice to the Company, in a form satisfactory to the Company, you may designate a third party who, in the event of your death, shall thereafter be entitled to exercise your option. In addition, if permitted by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3" w:name="page294"/>
    <w:bookmarkEnd w:id="293"/>
    <w:p>
      <w:pPr>
        <w:jc w:val="both"/>
        <w:spacing w:after="0" w:line="254" w:lineRule="auto"/>
        <w:rPr>
          <w:sz w:val="20"/>
          <w:szCs w:val="20"/>
          <w:color w:val="auto"/>
        </w:rPr>
      </w:pPr>
      <w:r>
        <w:rPr>
          <w:rFonts w:ascii="Times New Roman" w:cs="Times New Roman" w:eastAsia="Times New Roman" w:hAnsi="Times New Roman"/>
          <w:sz w:val="20"/>
          <w:szCs w:val="20"/>
          <w:color w:val="auto"/>
        </w:rPr>
        <w:t>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170" w:lineRule="exact"/>
        <w:rPr>
          <w:sz w:val="20"/>
          <w:szCs w:val="20"/>
          <w:color w:val="auto"/>
        </w:rPr>
      </w:pPr>
    </w:p>
    <w:p>
      <w:pPr>
        <w:jc w:val="both"/>
        <w:ind w:firstLine="840"/>
        <w:spacing w:after="0" w:line="245" w:lineRule="auto"/>
        <w:tabs>
          <w:tab w:leader="none" w:pos="1716"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IGHT OF</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IRST</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EFUSAL</w:t>
      </w:r>
      <w:r>
        <w:rPr>
          <w:rFonts w:ascii="Times New Roman" w:cs="Times New Roman" w:eastAsia="Times New Roman" w:hAnsi="Times New Roman"/>
          <w:sz w:val="20"/>
          <w:szCs w:val="20"/>
          <w:color w:val="auto"/>
        </w:rPr>
        <w:t>. Shares of Common Stock that you acquire upon exercise of your option are subject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right of first refusal that may be described in the Company’s bylaws in effect at such time the Company elects to exercise its right;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however, </w:t>
      </w:r>
      <w:r>
        <w:rPr>
          <w:rFonts w:ascii="Times New Roman" w:cs="Times New Roman" w:eastAsia="Times New Roman" w:hAnsi="Times New Roman"/>
          <w:sz w:val="20"/>
          <w:szCs w:val="20"/>
          <w:color w:val="auto"/>
        </w:rPr>
        <w:t>that if your option is an Incentive Stock Option and the right of first refusal described in the Company’s bylaws in effect at the time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elects to exercise its right is more beneficial to you than the right of first refusal described in the Company’s bylaws on the Date of Grant, then the right of first refusal described in the Company’s bylaws on the Date of Grant shall apply. The Company’s right of first refusal shall expire on the first date upon which any security of the Company is listed (or approved for listing) upon notice of issuance on a national securities exchange or quotation system.</w:t>
      </w:r>
    </w:p>
    <w:p>
      <w:pPr>
        <w:spacing w:after="0" w:line="179" w:lineRule="exact"/>
        <w:rPr>
          <w:rFonts w:ascii="Times New Roman" w:cs="Times New Roman" w:eastAsia="Times New Roman" w:hAnsi="Times New Roman"/>
          <w:sz w:val="20"/>
          <w:szCs w:val="20"/>
          <w:b w:val="1"/>
          <w:bCs w:val="1"/>
          <w:color w:val="auto"/>
        </w:rPr>
      </w:pPr>
    </w:p>
    <w:p>
      <w:pPr>
        <w:jc w:val="both"/>
        <w:ind w:firstLine="840"/>
        <w:spacing w:after="0" w:line="256" w:lineRule="auto"/>
        <w:tabs>
          <w:tab w:leader="none" w:pos="1727"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IGHT OF</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EPURCHASE</w:t>
      </w:r>
      <w:r>
        <w:rPr>
          <w:rFonts w:ascii="Times New Roman" w:cs="Times New Roman" w:eastAsia="Times New Roman" w:hAnsi="Times New Roman"/>
          <w:sz w:val="20"/>
          <w:szCs w:val="20"/>
          <w:color w:val="auto"/>
        </w:rPr>
        <w:t>. To the extent provided in the Company’s bylaws in effect at such time the Company elects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its right, the Company shall have the right to repurchase all or any part of the shares of Common Stock you acquire pursuant to the exercise of your option.</w:t>
      </w:r>
    </w:p>
    <w:p>
      <w:pPr>
        <w:spacing w:after="0" w:line="168" w:lineRule="exact"/>
        <w:rPr>
          <w:rFonts w:ascii="Times New Roman" w:cs="Times New Roman" w:eastAsia="Times New Roman" w:hAnsi="Times New Roman"/>
          <w:sz w:val="20"/>
          <w:szCs w:val="20"/>
          <w:b w:val="1"/>
          <w:bCs w:val="1"/>
          <w:color w:val="auto"/>
        </w:rPr>
      </w:pPr>
    </w:p>
    <w:p>
      <w:pPr>
        <w:jc w:val="both"/>
        <w:ind w:firstLine="840"/>
        <w:spacing w:after="0" w:line="247" w:lineRule="auto"/>
        <w:tabs>
          <w:tab w:leader="none" w:pos="1727"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 A</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ONTRACT</w:t>
      </w:r>
      <w:r>
        <w:rPr>
          <w:rFonts w:ascii="Times New Roman" w:cs="Times New Roman" w:eastAsia="Times New Roman" w:hAnsi="Times New Roman"/>
          <w:sz w:val="20"/>
          <w:szCs w:val="20"/>
          <w:color w:val="auto"/>
        </w:rPr>
        <w:t>. Your option is not an employment or service contract, and nothing in your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shareholders, Boards of Directors, Officers or Employees to continue any relationship that you might have as a Director or Consultant for the Company or an Affiliate.</w:t>
      </w:r>
    </w:p>
    <w:p>
      <w:pPr>
        <w:spacing w:after="0" w:line="180" w:lineRule="exact"/>
        <w:rPr>
          <w:rFonts w:ascii="Times New Roman" w:cs="Times New Roman" w:eastAsia="Times New Roman" w:hAnsi="Times New Roman"/>
          <w:sz w:val="20"/>
          <w:szCs w:val="20"/>
          <w:b w:val="1"/>
          <w:bCs w:val="1"/>
          <w:color w:val="auto"/>
        </w:rPr>
      </w:pPr>
    </w:p>
    <w:p>
      <w:pPr>
        <w:ind w:left="1740" w:hanging="900"/>
        <w:spacing w:after="0"/>
        <w:tabs>
          <w:tab w:leader="none" w:pos="174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671"/>
        <w:spacing w:after="0" w:line="246" w:lineRule="auto"/>
        <w:tabs>
          <w:tab w:leader="none" w:pos="2542"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4" w:lineRule="exact"/>
        <w:rPr>
          <w:rFonts w:ascii="Times New Roman" w:cs="Times New Roman" w:eastAsia="Times New Roman" w:hAnsi="Times New Roman"/>
          <w:sz w:val="20"/>
          <w:szCs w:val="20"/>
          <w:b w:val="1"/>
          <w:bCs w:val="1"/>
          <w:color w:val="auto"/>
        </w:rPr>
      </w:pPr>
    </w:p>
    <w:p>
      <w:pPr>
        <w:jc w:val="both"/>
        <w:ind w:firstLine="1671"/>
        <w:spacing w:after="0" w:line="241" w:lineRule="auto"/>
        <w:tabs>
          <w:tab w:leader="none" w:pos="2553"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6</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4" w:name="page295"/>
    <w:bookmarkEnd w:id="294"/>
    <w:p>
      <w:pPr>
        <w:jc w:val="both"/>
        <w:ind w:firstLine="1671"/>
        <w:spacing w:after="0" w:line="249" w:lineRule="auto"/>
        <w:tabs>
          <w:tab w:leader="none" w:pos="2531" w:val="left"/>
        </w:tabs>
        <w:numPr>
          <w:ilvl w:val="1"/>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175" w:lineRule="exact"/>
        <w:rPr>
          <w:rFonts w:ascii="Times New Roman" w:cs="Times New Roman" w:eastAsia="Times New Roman" w:hAnsi="Times New Roman"/>
          <w:sz w:val="20"/>
          <w:szCs w:val="20"/>
          <w:b w:val="1"/>
          <w:bCs w:val="1"/>
          <w:color w:val="auto"/>
        </w:rPr>
      </w:pPr>
    </w:p>
    <w:p>
      <w:pPr>
        <w:jc w:val="both"/>
        <w:ind w:firstLine="840"/>
        <w:spacing w:after="0" w:line="242" w:lineRule="auto"/>
        <w:tabs>
          <w:tab w:leader="none" w:pos="1727"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ONSEQUENCES</w:t>
      </w:r>
      <w:r>
        <w:rPr>
          <w:rFonts w:ascii="Times New Roman" w:cs="Times New Roman" w:eastAsia="Times New Roman" w:hAnsi="Times New Roman"/>
          <w:sz w:val="20"/>
          <w:szCs w:val="20"/>
          <w:color w:val="auto"/>
        </w:rPr>
        <w:t>. You hereby agree that the Company does not have a duty to design or administer the Plan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compensation programs in a manner that minimizes your tax liabilities. You shall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shall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89" w:lineRule="exact"/>
        <w:rPr>
          <w:rFonts w:ascii="Times New Roman" w:cs="Times New Roman" w:eastAsia="Times New Roman" w:hAnsi="Times New Roman"/>
          <w:sz w:val="20"/>
          <w:szCs w:val="20"/>
          <w:b w:val="1"/>
          <w:bCs w:val="1"/>
          <w:color w:val="auto"/>
        </w:rPr>
      </w:pPr>
    </w:p>
    <w:p>
      <w:pPr>
        <w:jc w:val="both"/>
        <w:ind w:firstLine="840"/>
        <w:spacing w:after="0" w:line="256" w:lineRule="auto"/>
        <w:tabs>
          <w:tab w:leader="none" w:pos="1727"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OTICES</w:t>
      </w:r>
      <w:r>
        <w:rPr>
          <w:rFonts w:ascii="Times New Roman" w:cs="Times New Roman" w:eastAsia="Times New Roman" w:hAnsi="Times New Roman"/>
          <w:sz w:val="20"/>
          <w:szCs w:val="20"/>
          <w:color w:val="auto"/>
        </w:rPr>
        <w:t>. Any notices provided for in your option or the Plan shall be given in writing and shall be deemed effectively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given upon receipt or, in the case of notices delivered by mail by the Company to you, five (5) days after deposit in the United States mail, postage prepaid, addressed to you at the last address you provided to the Company.</w:t>
      </w:r>
    </w:p>
    <w:p>
      <w:pPr>
        <w:spacing w:after="0" w:line="168" w:lineRule="exact"/>
        <w:rPr>
          <w:rFonts w:ascii="Times New Roman" w:cs="Times New Roman" w:eastAsia="Times New Roman" w:hAnsi="Times New Roman"/>
          <w:sz w:val="20"/>
          <w:szCs w:val="20"/>
          <w:b w:val="1"/>
          <w:bCs w:val="1"/>
          <w:color w:val="auto"/>
        </w:rPr>
      </w:pPr>
    </w:p>
    <w:p>
      <w:pPr>
        <w:jc w:val="both"/>
        <w:ind w:firstLine="840"/>
        <w:spacing w:after="0" w:line="250" w:lineRule="auto"/>
        <w:tabs>
          <w:tab w:leader="none" w:pos="1727"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20"/>
          <w:szCs w:val="20"/>
          <w:color w:val="auto"/>
        </w:rPr>
        <w:t>. Your option is subject to all the provisions of the Plan, the provisions of which are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a part of 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7</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5" w:name="page296"/>
    <w:bookmarkEnd w:id="29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20"/>
          <w:szCs w:val="20"/>
          <w:b w:val="1"/>
          <w:bCs w:val="1"/>
          <w:color w:val="auto"/>
        </w:rPr>
        <w:t xml:space="preserve"> II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2014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EPARATE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TTACHMENT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8</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4946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2" w:right="1440"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20"/>
          <w:szCs w:val="20"/>
          <w:b w:val="1"/>
          <w:bCs w:val="1"/>
          <w:color w:val="auto"/>
        </w:rPr>
        <w:t xml:space="preserve"> 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XERCISE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EPARATE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TTACHMENT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9</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4946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2" w:right="1440"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ind w:left="4060"/>
        <w:spacing w:after="0"/>
        <w:rPr>
          <w:sz w:val="20"/>
          <w:szCs w:val="20"/>
          <w:color w:val="auto"/>
        </w:rPr>
      </w:pPr>
      <w:r>
        <w:rPr>
          <w:rFonts w:ascii="Times New Roman" w:cs="Times New Roman" w:eastAsia="Times New Roman" w:hAnsi="Times New Roman"/>
          <w:sz w:val="20"/>
          <w:szCs w:val="20"/>
          <w:b w:val="1"/>
          <w:bCs w:val="1"/>
          <w:color w:val="auto"/>
        </w:rPr>
        <w:t>(2014 EQUITY INCENTIVE PLAN)</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Athira Pharma,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2014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Optionholder:</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Date of Grant:</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Type of Grant:</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Number of Shares Subject to Option: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Exercise Price (Per Share):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Total Exercise Price: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Expiration Date: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Exercise Schedule: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Vesting Schedule:</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Payment:</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Additional Terms/Acknowledgements: </w:t>
      </w:r>
      <w:r>
        <w:rPr>
          <w:rFonts w:ascii="Times New Roman" w:cs="Times New Roman" w:eastAsia="Times New Roman" w:hAnsi="Times New Roman"/>
          <w:sz w:val="20"/>
          <w:szCs w:val="20"/>
          <w:color w:val="auto"/>
        </w:rPr>
        <w:t>The Optionholder acknowledges receipt of, and understands and agrees to, this Stock Option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the Option Agreement and the Plan. Optionholder acknowledges and agrees that this Stock Option Grant Notice and the Option Agreement may not be modified, amended or revised except in a writing signed by Optionholder and a duly authorized officer of the Company. Optionholder further acknowledges that as of the Date of Grant, this Stock Option Grant Notice, the Option Agreement, and the Plan set forth the entire understanding between Optionholder and the Company regarding the acquisition of stock in the Company and supersede all prior oral and written agreements, promises and/or representations on that subject with the exception of (i) options previously granted and delivered to Optionholder under the Plan, and (ii) the following agreements only: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AGREEMENTS: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 Option Agreement, 2014 Equity Incentive Plan and Notice of Exercise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10</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2014 EQUITY INCENTIVE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OPTION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STOCK OPTION OR NONSTATUTORY STOCK OPTION)</w:t>
      </w:r>
    </w:p>
    <w:p>
      <w:pPr>
        <w:spacing w:after="0" w:line="190"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color w:val="auto"/>
        </w:rPr>
        <w:t>Pursuant to your Stock Option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this Option Agreement, Athira Pharma,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an Option under its 2014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the number of shares of the Company’s Common Stock indicated in your Grant Notice at the exercise price indicated in your Grant Notice. Defined terms not explicitly defined in this Option Agreement but defined in the Plan shall have the same definitions as in the Plan.</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The details of your Option are as follows:</w:t>
      </w:r>
    </w:p>
    <w:p>
      <w:pPr>
        <w:spacing w:after="0" w:line="212" w:lineRule="exact"/>
        <w:rPr>
          <w:sz w:val="20"/>
          <w:szCs w:val="20"/>
          <w:color w:val="auto"/>
        </w:rPr>
      </w:pPr>
    </w:p>
    <w:p>
      <w:pPr>
        <w:ind w:firstLine="840"/>
        <w:spacing w:after="0" w:line="273" w:lineRule="auto"/>
        <w:tabs>
          <w:tab w:leader="none" w:pos="162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Subject to the limitations contained herein, your Option will vest as provided in your Grant Notice,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vesting will cease upon the termination of your Continuous Service.</w:t>
      </w:r>
    </w:p>
    <w:p>
      <w:pPr>
        <w:spacing w:after="0" w:line="151" w:lineRule="exact"/>
        <w:rPr>
          <w:rFonts w:ascii="Times New Roman" w:cs="Times New Roman" w:eastAsia="Times New Roman" w:hAnsi="Times New Roman"/>
          <w:sz w:val="20"/>
          <w:szCs w:val="20"/>
          <w:color w:val="auto"/>
        </w:rPr>
      </w:pPr>
    </w:p>
    <w:p>
      <w:pPr>
        <w:jc w:val="both"/>
        <w:ind w:firstLine="1671"/>
        <w:spacing w:after="0" w:line="256" w:lineRule="auto"/>
        <w:tabs>
          <w:tab w:leader="none" w:pos="2542" w:val="left"/>
        </w:tabs>
        <w:numPr>
          <w:ilvl w:val="1"/>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 Schedule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so long as Optionholder continuously provides services to the Company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Subsidiary or Parent of the Company) as an employee, advisor, and/or consultant, this Option will vest (that is, become exercisable) with respect to the shares subject to the Option as set forth in your Grant Notice.</w:t>
      </w:r>
    </w:p>
    <w:p>
      <w:pPr>
        <w:spacing w:after="0" w:line="168" w:lineRule="exact"/>
        <w:rPr>
          <w:rFonts w:ascii="Times New Roman" w:cs="Times New Roman" w:eastAsia="Times New Roman" w:hAnsi="Times New Roman"/>
          <w:sz w:val="20"/>
          <w:szCs w:val="20"/>
          <w:b w:val="1"/>
          <w:bCs w:val="1"/>
          <w:color w:val="auto"/>
        </w:rPr>
      </w:pPr>
    </w:p>
    <w:p>
      <w:pPr>
        <w:ind w:left="2560" w:hanging="889"/>
        <w:spacing w:after="0"/>
        <w:tabs>
          <w:tab w:leader="none" w:pos="2560" w:val="left"/>
        </w:tabs>
        <w:numPr>
          <w:ilvl w:val="1"/>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Acceleration of Vesting Upon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w:t>
      </w:r>
    </w:p>
    <w:p>
      <w:pPr>
        <w:spacing w:after="0" w:line="216" w:lineRule="exact"/>
        <w:rPr>
          <w:sz w:val="20"/>
          <w:szCs w:val="20"/>
          <w:color w:val="auto"/>
        </w:rPr>
      </w:pPr>
    </w:p>
    <w:p>
      <w:pPr>
        <w:ind w:left="1680"/>
        <w:spacing w:after="0"/>
        <w:tabs>
          <w:tab w:leader="none" w:pos="2520" w:val="left"/>
        </w:tabs>
        <w:rPr>
          <w:sz w:val="20"/>
          <w:szCs w:val="20"/>
          <w:color w:val="auto"/>
        </w:rPr>
      </w:pPr>
      <w:r>
        <w:rPr>
          <w:rFonts w:ascii="Times New Roman" w:cs="Times New Roman" w:eastAsia="Times New Roman" w:hAnsi="Times New Roman"/>
          <w:sz w:val="20"/>
          <w:szCs w:val="20"/>
          <w:b w:val="1"/>
          <w:bCs w:val="1"/>
          <w:color w:val="auto"/>
        </w:rPr>
        <w:t>(c)</w:t>
      </w:r>
      <w:r>
        <w:rPr>
          <w:sz w:val="20"/>
          <w:szCs w:val="20"/>
          <w:color w:val="auto"/>
        </w:rPr>
        <w:tab/>
      </w:r>
      <w:r>
        <w:rPr>
          <w:rFonts w:ascii="Times New Roman" w:cs="Times New Roman" w:eastAsia="Times New Roman" w:hAnsi="Times New Roman"/>
          <w:sz w:val="20"/>
          <w:szCs w:val="20"/>
          <w:b w:val="1"/>
          <w:bCs w:val="1"/>
          <w:u w:val="single" w:color="auto"/>
          <w:color w:val="auto"/>
        </w:rPr>
        <w:t>Acceleration of Vesting Upon a Corporate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w:t>
      </w:r>
    </w:p>
    <w:p>
      <w:pPr>
        <w:spacing w:after="0" w:line="216" w:lineRule="exact"/>
        <w:rPr>
          <w:sz w:val="20"/>
          <w:szCs w:val="20"/>
          <w:color w:val="auto"/>
        </w:rPr>
      </w:pPr>
    </w:p>
    <w:p>
      <w:pPr>
        <w:ind w:left="2560" w:hanging="889"/>
        <w:spacing w:after="0"/>
        <w:tabs>
          <w:tab w:leader="none" w:pos="256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Acceleration of Vesting Upon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b w:val="1"/>
          <w:bCs w:val="1"/>
          <w:color w:val="auto"/>
        </w:rPr>
      </w:pPr>
    </w:p>
    <w:p>
      <w:pPr>
        <w:ind w:left="2540" w:hanging="869"/>
        <w:spacing w:after="0"/>
        <w:tabs>
          <w:tab w:leader="none" w:pos="254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used in this Option Agreement, the following definitions shall apply:</w:t>
      </w:r>
    </w:p>
    <w:p>
      <w:pPr>
        <w:spacing w:after="0" w:line="216" w:lineRule="exact"/>
        <w:rPr>
          <w:sz w:val="20"/>
          <w:szCs w:val="20"/>
          <w:color w:val="auto"/>
        </w:rPr>
      </w:pPr>
    </w:p>
    <w:p>
      <w:pPr>
        <w:jc w:val="both"/>
        <w:ind w:firstLine="1663"/>
        <w:spacing w:after="0" w:line="256"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at the time of determination, any “parent” or “majority-owned subsidiary” of the Company, as such terms are defined in Rule 405 of the Securities Act. The Board shall have the authority to determine the time or times at which “parent” or “majority-owned subsidiary” status is determined within the foregoing definition.</w:t>
      </w:r>
    </w:p>
    <w:p>
      <w:pPr>
        <w:spacing w:after="0" w:line="169" w:lineRule="exact"/>
        <w:rPr>
          <w:sz w:val="20"/>
          <w:szCs w:val="20"/>
          <w:color w:val="auto"/>
        </w:rPr>
      </w:pPr>
    </w:p>
    <w:p>
      <w:pPr>
        <w:jc w:val="both"/>
        <w:ind w:firstLine="1663"/>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means any person employed by the Company or an Affiliate. In case of any dispute as to whether Optionholder is an Employee, the Board shall have discretion, in its good faith and reasonable judgment, to determine whether Optionholder has ceased to an Employee and the effective date on which Optionholder’s employment or service terminated (the “</w:t>
      </w:r>
      <w:r>
        <w:rPr>
          <w:rFonts w:ascii="Times New Roman" w:cs="Times New Roman" w:eastAsia="Times New Roman" w:hAnsi="Times New Roman"/>
          <w:sz w:val="19"/>
          <w:szCs w:val="19"/>
          <w:b w:val="1"/>
          <w:bCs w:val="1"/>
          <w:i w:val="1"/>
          <w:iCs w:val="1"/>
          <w:color w:val="auto"/>
        </w:rPr>
        <w:t>Termination Date</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99" w:name="page300"/>
    <w:bookmarkEnd w:id="299"/>
    <w:p>
      <w:pPr>
        <w:jc w:val="both"/>
        <w:ind w:firstLine="166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as set forth in the Company’s 2014 Equity Incentive Plan, as may be amended from time to time.</w:t>
      </w:r>
    </w:p>
    <w:p>
      <w:pPr>
        <w:spacing w:after="0" w:line="152" w:lineRule="exact"/>
        <w:rPr>
          <w:sz w:val="20"/>
          <w:szCs w:val="20"/>
          <w:color w:val="auto"/>
        </w:rPr>
      </w:pPr>
    </w:p>
    <w:p>
      <w:pPr>
        <w:jc w:val="both"/>
        <w:ind w:firstLine="1663"/>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any of the following actions taken without Optionholder’s written consent and provided (a) the Company receives, within ninety (90) days following the date on which Optionholder knows of the occurrence of any of the events set forth in clauses (i) through (iii) below, written notice from Optionholder specifying the specific basis for Optionholder’s belief that Optionholder is entitled to terminate employment for Good Reason, (b) the Company fails to cure the event constituting Good Reason within thirty (30) days after receipt of such written notice thereof, and (c) Optionholder terminates employment within thirty (30) days following expiration of such cure period: (i) a material reduction in Optionholder’s duties or responsibilities that is inconsistent with Optionholder’s position, provided that a mere change of title alone shall not constitute such a material reduction; (ii) the requirement that Optionholder change Optionholder’s principal office to a facility that increases Optionholder’s commute by more than forty (40) miles from Optionholder’s commute to the location at which Optionholder was employed prior to such change, or (iii) a material reduction in Optionholder’s annual base salary or a material reduction in Optionholder’s employee benefits (e.g., medical, dental, insurance, short- and long-term disability insurance and 401(k) retirement plan benefits, collectively, the “Employee Benefits”) to which Optionholder is entitled immediately prior to such reduction (other than (x) in connection with a general decrease in the annual base salary or Employee Benefits of all similarly situated employees and (y) following a Change in Control, to the extent necessary to make Optionholder’s annual base salary or Employee Benefits commensurate with those of other employees of the Company or its successor entity or parent entity who are similarly situated with Optionholder following such Change in Control).</w:t>
      </w:r>
    </w:p>
    <w:p>
      <w:pPr>
        <w:spacing w:after="0" w:line="194" w:lineRule="exact"/>
        <w:rPr>
          <w:sz w:val="20"/>
          <w:szCs w:val="20"/>
          <w:color w:val="auto"/>
        </w:rPr>
      </w:pPr>
    </w:p>
    <w:p>
      <w:pPr>
        <w:jc w:val="both"/>
        <w:ind w:firstLine="840"/>
        <w:spacing w:after="0" w:line="256" w:lineRule="auto"/>
        <w:tabs>
          <w:tab w:leader="none" w:pos="162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NUMBER OF SHARES AND EXERCISE PRICE</w:t>
      </w:r>
      <w:r>
        <w:rPr>
          <w:rFonts w:ascii="Times New Roman" w:cs="Times New Roman" w:eastAsia="Times New Roman" w:hAnsi="Times New Roman"/>
          <w:sz w:val="20"/>
          <w:szCs w:val="20"/>
          <w:color w:val="auto"/>
        </w:rPr>
        <w:t>. The number of shares of Common Stock subject to your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your exercise price per share referenced in your Grant Notice may be adjusted from time to time for Capitalization Adjustments, as provided in the Plan.</w:t>
      </w:r>
    </w:p>
    <w:p>
      <w:pPr>
        <w:spacing w:after="0" w:line="168" w:lineRule="exact"/>
        <w:rPr>
          <w:rFonts w:ascii="Times New Roman" w:cs="Times New Roman" w:eastAsia="Times New Roman" w:hAnsi="Times New Roman"/>
          <w:sz w:val="20"/>
          <w:szCs w:val="20"/>
          <w:color w:val="auto"/>
        </w:rPr>
      </w:pPr>
    </w:p>
    <w:p>
      <w:pPr>
        <w:jc w:val="both"/>
        <w:ind w:firstLine="840"/>
        <w:spacing w:after="0" w:line="250" w:lineRule="auto"/>
        <w:tabs>
          <w:tab w:leader="none" w:pos="162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 RESTRICTION FOR NON-EXEMPT EMPLOYEES</w:t>
      </w:r>
      <w:r>
        <w:rPr>
          <w:rFonts w:ascii="Times New Roman" w:cs="Times New Roman" w:eastAsia="Times New Roman" w:hAnsi="Times New Roman"/>
          <w:sz w:val="20"/>
          <w:szCs w:val="20"/>
          <w:color w:val="auto"/>
        </w:rPr>
        <w:t>. In the event that you are an Employee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overtime compensation under the Fair Labor Standards Act of 1938, as amended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i w:val="1"/>
          <w:iCs w:val="1"/>
          <w:color w:val="auto"/>
        </w:rPr>
        <w:t>Non-Exempt Employee</w:t>
      </w:r>
      <w:r>
        <w:rPr>
          <w:rFonts w:ascii="Times New Roman" w:cs="Times New Roman" w:eastAsia="Times New Roman" w:hAnsi="Times New Roman"/>
          <w:sz w:val="20"/>
          <w:szCs w:val="20"/>
          <w:color w:val="auto"/>
        </w:rPr>
        <w:t>”), you may not exercise your Option until you have completed at least six (6) months of Continuous Service measured from the Date of Grant specified in your Grant Notice, notwithstanding any other provision of your Option.</w:t>
      </w:r>
    </w:p>
    <w:p>
      <w:pPr>
        <w:spacing w:after="0" w:line="175" w:lineRule="exact"/>
        <w:rPr>
          <w:rFonts w:ascii="Times New Roman" w:cs="Times New Roman" w:eastAsia="Times New Roman" w:hAnsi="Times New Roman"/>
          <w:sz w:val="20"/>
          <w:szCs w:val="20"/>
          <w:color w:val="auto"/>
        </w:rPr>
      </w:pPr>
    </w:p>
    <w:p>
      <w:pPr>
        <w:jc w:val="both"/>
        <w:ind w:firstLine="840"/>
        <w:spacing w:after="0" w:line="250" w:lineRule="auto"/>
        <w:tabs>
          <w:tab w:leader="none" w:pos="162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PRIOR TO VESTING (“EARLY EXERCISE”). </w:t>
      </w:r>
      <w:r>
        <w:rPr>
          <w:rFonts w:ascii="Times New Roman" w:cs="Times New Roman" w:eastAsia="Times New Roman" w:hAnsi="Times New Roman"/>
          <w:sz w:val="20"/>
          <w:szCs w:val="20"/>
          <w:color w:val="auto"/>
        </w:rPr>
        <w:t>If permitted in your Grant Notice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Schedule” indicates that “Early Exercise” of your Option is permitted) and subject to the provisions of your Option, you may elect at any time that is both (i) during the period of your Continuous Service and (ii) during the term of your Option, to exercise all or part of your Option, including the nonvested portion of your Option;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w:t>
      </w:r>
    </w:p>
    <w:p>
      <w:pPr>
        <w:spacing w:after="0" w:line="179" w:lineRule="exact"/>
        <w:rPr>
          <w:rFonts w:ascii="Times New Roman" w:cs="Times New Roman" w:eastAsia="Times New Roman" w:hAnsi="Times New Roman"/>
          <w:sz w:val="20"/>
          <w:szCs w:val="20"/>
          <w:color w:val="auto"/>
        </w:rPr>
      </w:pPr>
    </w:p>
    <w:p>
      <w:pPr>
        <w:ind w:firstLine="1671"/>
        <w:spacing w:after="0" w:line="269" w:lineRule="auto"/>
        <w:tabs>
          <w:tab w:leader="none" w:pos="249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partial exercise of your Option shall be deemed to cover first vested shares of Common Stock and then the earliest vesting installment of unvested shares of Common Stock;</w:t>
      </w:r>
    </w:p>
    <w:p>
      <w:pPr>
        <w:spacing w:after="0" w:line="159" w:lineRule="exact"/>
        <w:rPr>
          <w:rFonts w:ascii="Times New Roman" w:cs="Times New Roman" w:eastAsia="Times New Roman" w:hAnsi="Times New Roman"/>
          <w:sz w:val="20"/>
          <w:szCs w:val="20"/>
          <w:color w:val="auto"/>
        </w:rPr>
      </w:pPr>
    </w:p>
    <w:p>
      <w:pPr>
        <w:jc w:val="both"/>
        <w:ind w:firstLine="1671"/>
        <w:spacing w:after="0" w:line="254" w:lineRule="auto"/>
        <w:tabs>
          <w:tab w:leader="none" w:pos="2553"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174" w:lineRule="exact"/>
        <w:rPr>
          <w:rFonts w:ascii="Times New Roman" w:cs="Times New Roman" w:eastAsia="Times New Roman" w:hAnsi="Times New Roman"/>
          <w:sz w:val="20"/>
          <w:szCs w:val="20"/>
          <w:color w:val="auto"/>
        </w:rPr>
      </w:pPr>
    </w:p>
    <w:p>
      <w:pPr>
        <w:ind w:firstLine="1671"/>
        <w:spacing w:after="0" w:line="249" w:lineRule="auto"/>
        <w:tabs>
          <w:tab w:leader="none" w:pos="260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enter into the Company’s form of Early Exercise Stock Purchase Agreement with a vesting schedule that will result in the same vesting as if no early exercise had occurred;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2</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300" w:name="page301"/>
    <w:bookmarkEnd w:id="300"/>
    <w:p>
      <w:pPr>
        <w:jc w:val="both"/>
        <w:ind w:firstLine="1671"/>
        <w:spacing w:after="0" w:line="246" w:lineRule="auto"/>
        <w:tabs>
          <w:tab w:leader="none" w:pos="2597"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180" w:lineRule="exact"/>
        <w:rPr>
          <w:rFonts w:ascii="Times New Roman" w:cs="Times New Roman" w:eastAsia="Times New Roman" w:hAnsi="Times New Roman"/>
          <w:sz w:val="20"/>
          <w:szCs w:val="20"/>
          <w:color w:val="auto"/>
        </w:rPr>
      </w:pPr>
    </w:p>
    <w:p>
      <w:pPr>
        <w:jc w:val="both"/>
        <w:ind w:right="20" w:firstLine="840"/>
        <w:spacing w:after="0" w:line="256" w:lineRule="auto"/>
        <w:tabs>
          <w:tab w:leader="none" w:pos="1628"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METHOD OF PAYMENT. </w:t>
      </w:r>
      <w:r>
        <w:rPr>
          <w:rFonts w:ascii="Times New Roman" w:cs="Times New Roman" w:eastAsia="Times New Roman" w:hAnsi="Times New Roman"/>
          <w:sz w:val="20"/>
          <w:szCs w:val="20"/>
          <w:color w:val="auto"/>
        </w:rPr>
        <w:t>Payment of the exercise price is due in full upon exercise of all or any part of your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may elect to make payment of the exercise price in cash or by check or in any other manner permitted by your Grant Notice, which may include one or more of the following:</w:t>
      </w:r>
    </w:p>
    <w:p>
      <w:pPr>
        <w:spacing w:after="0" w:line="168" w:lineRule="exact"/>
        <w:rPr>
          <w:rFonts w:ascii="Times New Roman" w:cs="Times New Roman" w:eastAsia="Times New Roman" w:hAnsi="Times New Roman"/>
          <w:sz w:val="20"/>
          <w:szCs w:val="20"/>
          <w:b w:val="1"/>
          <w:bCs w:val="1"/>
          <w:color w:val="auto"/>
        </w:rPr>
      </w:pPr>
    </w:p>
    <w:p>
      <w:pPr>
        <w:jc w:val="both"/>
        <w:ind w:firstLine="1671"/>
        <w:spacing w:after="0" w:line="250" w:lineRule="auto"/>
        <w:tabs>
          <w:tab w:leader="none" w:pos="2498" w:val="left"/>
        </w:tabs>
        <w:numPr>
          <w:ilvl w:val="1"/>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Provided that at the time of exercise the Common Stock is publicly traded and quoted regularly in </w:t>
      </w:r>
      <w:r>
        <w:rPr>
          <w:rFonts w:ascii="Times New Roman" w:cs="Times New Roman" w:eastAsia="Times New Roman" w:hAnsi="Times New Roman"/>
          <w:sz w:val="20"/>
          <w:szCs w:val="20"/>
          <w:i w:val="1"/>
          <w:iCs w:val="1"/>
          <w:color w:val="auto"/>
        </w:rPr>
        <w:t>The Wall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Street Journal</w:t>
      </w:r>
      <w:r>
        <w:rPr>
          <w:rFonts w:ascii="Times New Roman" w:cs="Times New Roman" w:eastAsia="Times New Roman" w:hAnsi="Times New Roman"/>
          <w:sz w:val="20"/>
          <w:szCs w:val="20"/>
          <w:color w:val="auto"/>
        </w:rPr>
        <w:t>, pursuant to a program developed under Regulation T as promulgated by the Federal Reserve Board that, prior to the issuance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Common Stock,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20"/>
          <w:szCs w:val="20"/>
          <w:b w:val="1"/>
          <w:bCs w:val="1"/>
          <w:color w:val="auto"/>
        </w:rPr>
      </w:pPr>
    </w:p>
    <w:p>
      <w:pPr>
        <w:jc w:val="both"/>
        <w:ind w:firstLine="1671"/>
        <w:spacing w:after="0" w:line="247" w:lineRule="auto"/>
        <w:tabs>
          <w:tab w:leader="none" w:pos="2553" w:val="left"/>
        </w:tabs>
        <w:numPr>
          <w:ilvl w:val="1"/>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Provided that at the time of exercise the Common Stock is publicly traded and quoted regularly in </w:t>
      </w:r>
      <w:r>
        <w:rPr>
          <w:rFonts w:ascii="Times New Roman" w:cs="Times New Roman" w:eastAsia="Times New Roman" w:hAnsi="Times New Roman"/>
          <w:sz w:val="20"/>
          <w:szCs w:val="20"/>
          <w:i w:val="1"/>
          <w:iCs w:val="1"/>
          <w:color w:val="auto"/>
        </w:rPr>
        <w:t>The Wall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Street Journal</w:t>
      </w:r>
      <w:r>
        <w:rPr>
          <w:rFonts w:ascii="Times New Roman" w:cs="Times New Roman" w:eastAsia="Times New Roman" w:hAnsi="Times New Roman"/>
          <w:sz w:val="20"/>
          <w:szCs w:val="20"/>
          <w:color w:val="auto"/>
        </w:rPr>
        <w:t>, by delivery to the Company (either by actual delivery or attestation) of already-owned shares of Common Stock that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owned free and clear of any liens, claims, encumbrances or security interests, and that are valued at Fair Market Value on the date of exercise.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80" w:lineRule="exact"/>
        <w:rPr>
          <w:rFonts w:ascii="Times New Roman" w:cs="Times New Roman" w:eastAsia="Times New Roman" w:hAnsi="Times New Roman"/>
          <w:sz w:val="20"/>
          <w:szCs w:val="20"/>
          <w:b w:val="1"/>
          <w:bCs w:val="1"/>
          <w:color w:val="auto"/>
        </w:rPr>
      </w:pPr>
    </w:p>
    <w:p>
      <w:pPr>
        <w:ind w:left="1640" w:hanging="800"/>
        <w:spacing w:after="0"/>
        <w:tabs>
          <w:tab w:leader="none" w:pos="164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WHOLE SHARES. </w:t>
      </w:r>
      <w:r>
        <w:rPr>
          <w:rFonts w:ascii="Times New Roman" w:cs="Times New Roman" w:eastAsia="Times New Roman" w:hAnsi="Times New Roman"/>
          <w:sz w:val="20"/>
          <w:szCs w:val="20"/>
          <w:color w:val="auto"/>
        </w:rPr>
        <w:t>You may exercise your Option only for whole shares of Common Stock.</w:t>
      </w:r>
    </w:p>
    <w:p>
      <w:pPr>
        <w:spacing w:after="0" w:line="215" w:lineRule="exact"/>
        <w:rPr>
          <w:rFonts w:ascii="Times New Roman" w:cs="Times New Roman" w:eastAsia="Times New Roman" w:hAnsi="Times New Roman"/>
          <w:sz w:val="20"/>
          <w:szCs w:val="20"/>
          <w:b w:val="1"/>
          <w:bCs w:val="1"/>
          <w:color w:val="auto"/>
        </w:rPr>
      </w:pPr>
    </w:p>
    <w:p>
      <w:pPr>
        <w:jc w:val="both"/>
        <w:ind w:firstLine="840"/>
        <w:spacing w:after="0" w:line="246" w:lineRule="auto"/>
        <w:tabs>
          <w:tab w:leader="none" w:pos="1628"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SECURITIES LAW COMPLIANCE. </w:t>
      </w:r>
      <w:r>
        <w:rPr>
          <w:rFonts w:ascii="Times New Roman" w:cs="Times New Roman" w:eastAsia="Times New Roman" w:hAnsi="Times New Roman"/>
          <w:sz w:val="20"/>
          <w:szCs w:val="20"/>
          <w:color w:val="auto"/>
        </w:rPr>
        <w:t>Notwithstanding anything to the contrary contained herein, you may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your Option unless 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78" w:lineRule="exact"/>
        <w:rPr>
          <w:rFonts w:ascii="Times New Roman" w:cs="Times New Roman" w:eastAsia="Times New Roman" w:hAnsi="Times New Roman"/>
          <w:sz w:val="20"/>
          <w:szCs w:val="20"/>
          <w:b w:val="1"/>
          <w:bCs w:val="1"/>
          <w:color w:val="auto"/>
        </w:rPr>
      </w:pPr>
    </w:p>
    <w:p>
      <w:pPr>
        <w:ind w:right="20" w:firstLine="840"/>
        <w:spacing w:after="0" w:line="273" w:lineRule="auto"/>
        <w:tabs>
          <w:tab w:leader="none" w:pos="1628"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You may not exercise your Option before the commencement or after the expiration of its term.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Option commences on the Date of Grant and expires upon the earliest of the following:</w:t>
      </w:r>
    </w:p>
    <w:p>
      <w:pPr>
        <w:spacing w:after="0" w:line="155" w:lineRule="exact"/>
        <w:rPr>
          <w:rFonts w:ascii="Times New Roman" w:cs="Times New Roman" w:eastAsia="Times New Roman" w:hAnsi="Times New Roman"/>
          <w:sz w:val="20"/>
          <w:szCs w:val="20"/>
          <w:b w:val="1"/>
          <w:bCs w:val="1"/>
          <w:color w:val="auto"/>
        </w:rPr>
      </w:pPr>
    </w:p>
    <w:p>
      <w:pPr>
        <w:jc w:val="both"/>
        <w:ind w:firstLine="1671"/>
        <w:spacing w:after="0" w:line="249" w:lineRule="auto"/>
        <w:tabs>
          <w:tab w:leader="none" w:pos="249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(3) months after the termination of your Continuous Service for any reason other than your Disability or death, provided that if during any part of such three (3) month period your Option is not exercisable solely because of the condition set forth in the section above relating to “Securities Law Compliance,” your Option shall not expire until the earlier of the Expiration Date or until it shall have been exercisable for an aggregate period of three (3) months after the termination of your Continuous Service;</w:t>
      </w:r>
    </w:p>
    <w:p>
      <w:pPr>
        <w:spacing w:after="0" w:line="179" w:lineRule="exact"/>
        <w:rPr>
          <w:rFonts w:ascii="Times New Roman" w:cs="Times New Roman" w:eastAsia="Times New Roman" w:hAnsi="Times New Roman"/>
          <w:sz w:val="20"/>
          <w:szCs w:val="20"/>
          <w:color w:val="auto"/>
        </w:rPr>
      </w:pPr>
    </w:p>
    <w:p>
      <w:pPr>
        <w:ind w:left="2560" w:hanging="889"/>
        <w:spacing w:after="0"/>
        <w:tabs>
          <w:tab w:leader="none" w:pos="256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twelve (12) months after the termination of your Continuous Service due to your Disability;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3</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1" w:name="page302"/>
    <w:bookmarkEnd w:id="301"/>
    <w:p>
      <w:pPr>
        <w:ind w:right="20" w:firstLine="1671"/>
        <w:spacing w:after="0" w:line="269" w:lineRule="auto"/>
        <w:tabs>
          <w:tab w:leader="none" w:pos="260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eighteen (18) months after your death if you die either during your Continuous Service or within three (3) months after your Continuous Service terminates;</w:t>
      </w:r>
    </w:p>
    <w:p>
      <w:pPr>
        <w:spacing w:after="0" w:line="159" w:lineRule="exact"/>
        <w:rPr>
          <w:rFonts w:ascii="Times New Roman" w:cs="Times New Roman" w:eastAsia="Times New Roman" w:hAnsi="Times New Roman"/>
          <w:sz w:val="20"/>
          <w:szCs w:val="20"/>
          <w:color w:val="auto"/>
        </w:rPr>
      </w:pPr>
    </w:p>
    <w:p>
      <w:pPr>
        <w:ind w:left="2600" w:hanging="929"/>
        <w:spacing w:after="0"/>
        <w:tabs>
          <w:tab w:leader="none" w:pos="26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indicated in your Grant Notice; or</w:t>
      </w:r>
    </w:p>
    <w:p>
      <w:pPr>
        <w:spacing w:after="0" w:line="215" w:lineRule="exact"/>
        <w:rPr>
          <w:rFonts w:ascii="Times New Roman" w:cs="Times New Roman" w:eastAsia="Times New Roman" w:hAnsi="Times New Roman"/>
          <w:sz w:val="20"/>
          <w:szCs w:val="20"/>
          <w:color w:val="auto"/>
        </w:rPr>
      </w:pPr>
    </w:p>
    <w:p>
      <w:pPr>
        <w:ind w:left="2560" w:hanging="889"/>
        <w:spacing w:after="0"/>
        <w:tabs>
          <w:tab w:leader="none" w:pos="25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day before the tenth (10th) anniversary of the Date of Grant.</w:t>
      </w:r>
    </w:p>
    <w:p>
      <w:pPr>
        <w:spacing w:after="0" w:line="216"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0"/>
          <w:szCs w:val="20"/>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82" w:lineRule="exact"/>
        <w:rPr>
          <w:sz w:val="20"/>
          <w:szCs w:val="20"/>
          <w:color w:val="auto"/>
        </w:rPr>
      </w:pPr>
    </w:p>
    <w:p>
      <w:pPr>
        <w:ind w:left="1640" w:hanging="800"/>
        <w:spacing w:after="0"/>
        <w:tabs>
          <w:tab w:leader="none" w:pos="16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671"/>
        <w:spacing w:after="0" w:line="249" w:lineRule="auto"/>
        <w:tabs>
          <w:tab w:leader="none" w:pos="2498"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179" w:lineRule="exact"/>
        <w:rPr>
          <w:rFonts w:ascii="Times New Roman" w:cs="Times New Roman" w:eastAsia="Times New Roman" w:hAnsi="Times New Roman"/>
          <w:sz w:val="20"/>
          <w:szCs w:val="20"/>
          <w:color w:val="auto"/>
        </w:rPr>
      </w:pPr>
    </w:p>
    <w:p>
      <w:pPr>
        <w:jc w:val="both"/>
        <w:ind w:firstLine="1671"/>
        <w:spacing w:after="0" w:line="249" w:lineRule="auto"/>
        <w:tabs>
          <w:tab w:leader="none" w:pos="255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179" w:lineRule="exact"/>
        <w:rPr>
          <w:rFonts w:ascii="Times New Roman" w:cs="Times New Roman" w:eastAsia="Times New Roman" w:hAnsi="Times New Roman"/>
          <w:sz w:val="20"/>
          <w:szCs w:val="20"/>
          <w:color w:val="auto"/>
        </w:rPr>
      </w:pPr>
    </w:p>
    <w:p>
      <w:pPr>
        <w:jc w:val="both"/>
        <w:ind w:firstLine="1671"/>
        <w:spacing w:after="0" w:line="249" w:lineRule="auto"/>
        <w:tabs>
          <w:tab w:leader="none" w:pos="2608"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pacing w:after="0" w:line="179" w:lineRule="exact"/>
        <w:rPr>
          <w:rFonts w:ascii="Times New Roman" w:cs="Times New Roman" w:eastAsia="Times New Roman" w:hAnsi="Times New Roman"/>
          <w:sz w:val="20"/>
          <w:szCs w:val="20"/>
          <w:color w:val="auto"/>
        </w:rPr>
      </w:pPr>
    </w:p>
    <w:p>
      <w:pPr>
        <w:jc w:val="both"/>
        <w:ind w:firstLine="1671"/>
        <w:spacing w:after="0" w:line="241" w:lineRule="auto"/>
        <w:tabs>
          <w:tab w:leader="none" w:pos="2597"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 (the “</w:t>
      </w:r>
      <w:r>
        <w:rPr>
          <w:rFonts w:ascii="Times New Roman" w:cs="Times New Roman" w:eastAsia="Times New Roman" w:hAnsi="Times New Roman"/>
          <w:sz w:val="20"/>
          <w:szCs w:val="20"/>
          <w:b w:val="1"/>
          <w:bCs w:val="1"/>
          <w:i w:val="1"/>
          <w:iCs w:val="1"/>
          <w:color w:val="auto"/>
        </w:rPr>
        <w:t>Lock-Up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nothing contained in this section shall prevent the exercise of a repurchase option, if any, in favor of the 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2" w:name="page303"/>
    <w:bookmarkEnd w:id="302"/>
    <w:p>
      <w:pPr>
        <w:jc w:val="both"/>
        <w:ind w:firstLine="840"/>
        <w:spacing w:after="0" w:line="246" w:lineRule="auto"/>
        <w:tabs>
          <w:tab w:leader="none" w:pos="1727"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Your Option is not transferable, except by will or by the laws of descent and distribution,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exercisable during your life only by you. Notwithstanding the foregoing, by delivering written notice to the Company, in a form satisfactory to the Company, you may designate a third party who, in the event of your death, shall thereafter be entitled to exercise your Option. In addition, if permitted by the 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178" w:lineRule="exact"/>
        <w:rPr>
          <w:rFonts w:ascii="Times New Roman" w:cs="Times New Roman" w:eastAsia="Times New Roman" w:hAnsi="Times New Roman"/>
          <w:sz w:val="20"/>
          <w:szCs w:val="20"/>
          <w:b w:val="1"/>
          <w:bCs w:val="1"/>
          <w:color w:val="auto"/>
        </w:rPr>
      </w:pPr>
    </w:p>
    <w:p>
      <w:pPr>
        <w:jc w:val="both"/>
        <w:ind w:firstLine="840"/>
        <w:spacing w:after="0" w:line="245" w:lineRule="auto"/>
        <w:tabs>
          <w:tab w:leader="none" w:pos="1716"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 OF FIRST REFUSAL. </w:t>
      </w:r>
      <w:r>
        <w:rPr>
          <w:rFonts w:ascii="Times New Roman" w:cs="Times New Roman" w:eastAsia="Times New Roman" w:hAnsi="Times New Roman"/>
          <w:sz w:val="20"/>
          <w:szCs w:val="20"/>
          <w:color w:val="auto"/>
        </w:rPr>
        <w:t>Shares of Common Stock that you acquire upon exercise of your Option are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right of first refusal that may be described in the Company’s bylaws in effect at such time the Company elects to exercise its right; </w:t>
      </w: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if your Option is an Incentive Stock Option and the right of first refusal described in the Company’s bylaws in effect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 the time the Company elects to exercise its right is more beneficial to you than the right of first refusal described in the Company’s bylaws on the Date of Grant, then the right of first refusal described in the Company’s bylaws on the Date of Grant shall apply. The Company’s right of first refusal shall expire on the first date upon which any security of the Company is listed (or approved for listing) upon notice of issuance on a national securities exchange or quotation system.</w:t>
      </w:r>
    </w:p>
    <w:p>
      <w:pPr>
        <w:spacing w:after="0" w:line="179" w:lineRule="exact"/>
        <w:rPr>
          <w:rFonts w:ascii="Times New Roman" w:cs="Times New Roman" w:eastAsia="Times New Roman" w:hAnsi="Times New Roman"/>
          <w:sz w:val="20"/>
          <w:szCs w:val="20"/>
          <w:b w:val="1"/>
          <w:bCs w:val="1"/>
          <w:color w:val="auto"/>
        </w:rPr>
      </w:pPr>
    </w:p>
    <w:p>
      <w:pPr>
        <w:jc w:val="both"/>
        <w:ind w:firstLine="840"/>
        <w:spacing w:after="0" w:line="256" w:lineRule="auto"/>
        <w:tabs>
          <w:tab w:leader="none" w:pos="1727"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 OF REPURCHASE. </w:t>
      </w:r>
      <w:r>
        <w:rPr>
          <w:rFonts w:ascii="Times New Roman" w:cs="Times New Roman" w:eastAsia="Times New Roman" w:hAnsi="Times New Roman"/>
          <w:sz w:val="20"/>
          <w:szCs w:val="20"/>
          <w:color w:val="auto"/>
        </w:rPr>
        <w:t>To the extent provided in the Company’s bylaws in effect at such time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elects to exercise its right, the Company shall have the right to repurchase all or any part of the shares of Common Stock you acquire pursuant to the exercise of your Option.</w:t>
      </w:r>
    </w:p>
    <w:p>
      <w:pPr>
        <w:spacing w:after="0" w:line="168" w:lineRule="exact"/>
        <w:rPr>
          <w:rFonts w:ascii="Times New Roman" w:cs="Times New Roman" w:eastAsia="Times New Roman" w:hAnsi="Times New Roman"/>
          <w:sz w:val="20"/>
          <w:szCs w:val="20"/>
          <w:b w:val="1"/>
          <w:bCs w:val="1"/>
          <w:color w:val="auto"/>
        </w:rPr>
      </w:pPr>
    </w:p>
    <w:p>
      <w:pPr>
        <w:jc w:val="both"/>
        <w:ind w:firstLine="840"/>
        <w:spacing w:after="0" w:line="247" w:lineRule="auto"/>
        <w:tabs>
          <w:tab w:leader="none" w:pos="1727"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OPTION NOT A SERVICE CONTRACT. </w:t>
      </w:r>
      <w:r>
        <w:rPr>
          <w:rFonts w:ascii="Times New Roman" w:cs="Times New Roman" w:eastAsia="Times New Roman" w:hAnsi="Times New Roman"/>
          <w:sz w:val="20"/>
          <w:szCs w:val="20"/>
          <w:color w:val="auto"/>
        </w:rPr>
        <w:t>Your Option is not an employment or service contract, and nothing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Option shall be 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shareholders, Boards of Directors, Officers or Employees to continue any relationship that you might have as a Director or Consultant for the Company or an Affiliate.</w:t>
      </w:r>
    </w:p>
    <w:p>
      <w:pPr>
        <w:spacing w:after="0" w:line="180" w:lineRule="exact"/>
        <w:rPr>
          <w:rFonts w:ascii="Times New Roman" w:cs="Times New Roman" w:eastAsia="Times New Roman" w:hAnsi="Times New Roman"/>
          <w:sz w:val="20"/>
          <w:szCs w:val="20"/>
          <w:b w:val="1"/>
          <w:bCs w:val="1"/>
          <w:color w:val="auto"/>
        </w:rPr>
      </w:pPr>
    </w:p>
    <w:p>
      <w:pPr>
        <w:ind w:left="1740" w:hanging="900"/>
        <w:spacing w:after="0"/>
        <w:tabs>
          <w:tab w:leader="none" w:pos="1740"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 OBLIGATIONS.</w:t>
      </w:r>
    </w:p>
    <w:p>
      <w:pPr>
        <w:spacing w:after="0" w:line="219" w:lineRule="exact"/>
        <w:rPr>
          <w:rFonts w:ascii="Times New Roman" w:cs="Times New Roman" w:eastAsia="Times New Roman" w:hAnsi="Times New Roman"/>
          <w:sz w:val="20"/>
          <w:szCs w:val="20"/>
          <w:b w:val="1"/>
          <w:bCs w:val="1"/>
          <w:color w:val="auto"/>
        </w:rPr>
      </w:pPr>
    </w:p>
    <w:p>
      <w:pPr>
        <w:jc w:val="both"/>
        <w:ind w:firstLine="1671"/>
        <w:spacing w:after="0" w:line="246" w:lineRule="auto"/>
        <w:tabs>
          <w:tab w:leader="none" w:pos="249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4" w:lineRule="exact"/>
        <w:rPr>
          <w:rFonts w:ascii="Times New Roman" w:cs="Times New Roman" w:eastAsia="Times New Roman" w:hAnsi="Times New Roman"/>
          <w:sz w:val="20"/>
          <w:szCs w:val="20"/>
          <w:color w:val="auto"/>
        </w:rPr>
      </w:pPr>
    </w:p>
    <w:p>
      <w:pPr>
        <w:jc w:val="both"/>
        <w:ind w:firstLine="1671"/>
        <w:spacing w:after="0" w:line="254" w:lineRule="auto"/>
        <w:tabs>
          <w:tab w:leader="none" w:pos="2553"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303" w:name="page304"/>
    <w:bookmarkEnd w:id="303"/>
    <w:p>
      <w:pPr>
        <w:jc w:val="both"/>
        <w:spacing w:after="0" w:line="249" w:lineRule="auto"/>
        <w:rPr>
          <w:sz w:val="20"/>
          <w:szCs w:val="20"/>
          <w:color w:val="auto"/>
        </w:rPr>
      </w:pPr>
      <w:r>
        <w:rPr>
          <w:rFonts w:ascii="Times New Roman" w:cs="Times New Roman" w:eastAsia="Times New Roman" w:hAnsi="Times New Roman"/>
          <w:sz w:val="20"/>
          <w:szCs w:val="20"/>
          <w:color w:val="auto"/>
        </w:rPr>
        <w:t>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80" w:lineRule="exact"/>
        <w:rPr>
          <w:sz w:val="20"/>
          <w:szCs w:val="20"/>
          <w:color w:val="auto"/>
        </w:rPr>
      </w:pPr>
    </w:p>
    <w:p>
      <w:pPr>
        <w:jc w:val="both"/>
        <w:ind w:firstLine="1671"/>
        <w:spacing w:after="0" w:line="249" w:lineRule="auto"/>
        <w:tabs>
          <w:tab w:leader="none" w:pos="2608" w:val="left"/>
        </w:tabs>
        <w:numPr>
          <w:ilvl w:val="1"/>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175" w:lineRule="exact"/>
        <w:rPr>
          <w:rFonts w:ascii="Times New Roman" w:cs="Times New Roman" w:eastAsia="Times New Roman" w:hAnsi="Times New Roman"/>
          <w:sz w:val="20"/>
          <w:szCs w:val="20"/>
          <w:b w:val="1"/>
          <w:bCs w:val="1"/>
          <w:color w:val="auto"/>
        </w:rPr>
      </w:pPr>
    </w:p>
    <w:p>
      <w:pPr>
        <w:jc w:val="both"/>
        <w:ind w:firstLine="840"/>
        <w:spacing w:after="0" w:line="242" w:lineRule="auto"/>
        <w:tabs>
          <w:tab w:leader="none" w:pos="1727"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CONSEQUENCES</w:t>
      </w:r>
      <w:r>
        <w:rPr>
          <w:rFonts w:ascii="Times New Roman" w:cs="Times New Roman" w:eastAsia="Times New Roman" w:hAnsi="Times New Roman"/>
          <w:sz w:val="20"/>
          <w:szCs w:val="20"/>
          <w:color w:val="auto"/>
        </w:rPr>
        <w:t>. You hereby agree that the Company does not have a duty to design or administer the Plan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other compensation programs in a manner that minimizes your tax liabilities. You shall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shall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89" w:lineRule="exact"/>
        <w:rPr>
          <w:rFonts w:ascii="Times New Roman" w:cs="Times New Roman" w:eastAsia="Times New Roman" w:hAnsi="Times New Roman"/>
          <w:sz w:val="20"/>
          <w:szCs w:val="20"/>
          <w:b w:val="1"/>
          <w:bCs w:val="1"/>
          <w:color w:val="auto"/>
        </w:rPr>
      </w:pPr>
    </w:p>
    <w:p>
      <w:pPr>
        <w:jc w:val="both"/>
        <w:ind w:firstLine="840"/>
        <w:spacing w:after="0" w:line="256" w:lineRule="auto"/>
        <w:tabs>
          <w:tab w:leader="none" w:pos="1727"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Any notices provided for in your Option or the Plan shall be given in writing and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effectively given upon receipt or, in the case of notices delivered by mail by the Company to you, five (5) days after deposit in the United States mail, postage prepaid, addressed to you at the last address you provided to the Company.</w:t>
      </w:r>
    </w:p>
    <w:p>
      <w:pPr>
        <w:spacing w:after="0" w:line="168" w:lineRule="exact"/>
        <w:rPr>
          <w:rFonts w:ascii="Times New Roman" w:cs="Times New Roman" w:eastAsia="Times New Roman" w:hAnsi="Times New Roman"/>
          <w:sz w:val="20"/>
          <w:szCs w:val="20"/>
          <w:b w:val="1"/>
          <w:bCs w:val="1"/>
          <w:color w:val="auto"/>
        </w:rPr>
      </w:pPr>
    </w:p>
    <w:p>
      <w:pPr>
        <w:jc w:val="both"/>
        <w:ind w:firstLine="840"/>
        <w:spacing w:after="0" w:line="250" w:lineRule="auto"/>
        <w:tabs>
          <w:tab w:leader="none" w:pos="1727"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PLAN DOCUMENT. </w:t>
      </w:r>
      <w:r>
        <w:rPr>
          <w:rFonts w:ascii="Times New Roman" w:cs="Times New Roman" w:eastAsia="Times New Roman" w:hAnsi="Times New Roman"/>
          <w:sz w:val="20"/>
          <w:szCs w:val="20"/>
          <w:color w:val="auto"/>
        </w:rPr>
        <w:t>Your Option is subject to all the provisions of the Plan, the provisions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hereby made a part of 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6</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576"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10.4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M3 B</w:t>
      </w:r>
      <w:r>
        <w:rPr>
          <w:rFonts w:ascii="Times New Roman" w:cs="Times New Roman" w:eastAsia="Times New Roman" w:hAnsi="Times New Roman"/>
          <w:sz w:val="13"/>
          <w:szCs w:val="13"/>
          <w:b w:val="1"/>
          <w:bCs w:val="1"/>
          <w:color w:val="auto"/>
        </w:rPr>
        <w:t>IOTECHNOLOGY</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26" w:lineRule="exact"/>
        <w:rPr>
          <w:sz w:val="20"/>
          <w:szCs w:val="20"/>
          <w:color w:val="auto"/>
        </w:rPr>
      </w:pPr>
    </w:p>
    <w:p>
      <w:pPr>
        <w:ind w:left="4500" w:hanging="124"/>
        <w:spacing w:after="0"/>
        <w:tabs>
          <w:tab w:leader="none" w:pos="4500"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2014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M3 Biotechnology,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2014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grants to Participant the number of shares of the Company’s Common Stock set forth below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This Award is subject to all of the terms and conditions as set forth herein and in the Restricted Stock Award Agreement, the Plan, the form of Assignment Separate from Certificate and the form of Joint Escrow Instructions, all of which are attached hereto and incorporated herein in their entirety. Capitalized terms not explicitly defined herein but defined in the Plan or the Restricted Stock Award Agreement will have the same definitions as in the Plan or the Restricted Stock Award Agreement, as applicable. If there is any conflict between the terms herein and the Plan, the terms of the Plan will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Grant:</w:t>
      </w:r>
    </w:p>
    <w:p>
      <w:pPr>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rPr>
          <w:sz w:val="20"/>
          <w:szCs w:val="20"/>
          <w:color w:val="auto"/>
        </w:rPr>
      </w:pPr>
      <w:r>
        <w:rPr>
          <w:rFonts w:ascii="Times New Roman" w:cs="Times New Roman" w:eastAsia="Times New Roman" w:hAnsi="Times New Roman"/>
          <w:sz w:val="20"/>
          <w:szCs w:val="20"/>
          <w:color w:val="auto"/>
        </w:rPr>
        <w:t>Number of Shares Subject to Award:</w:t>
      </w:r>
    </w:p>
    <w:p>
      <w:pPr>
        <w:spacing w:after="0"/>
        <w:rPr>
          <w:sz w:val="20"/>
          <w:szCs w:val="20"/>
          <w:color w:val="auto"/>
        </w:rPr>
      </w:pPr>
      <w:r>
        <w:rPr>
          <w:rFonts w:ascii="Times New Roman" w:cs="Times New Roman" w:eastAsia="Times New Roman" w:hAnsi="Times New Roman"/>
          <w:sz w:val="20"/>
          <w:szCs w:val="20"/>
          <w:color w:val="auto"/>
        </w:rPr>
        <w:t>Consideration: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Additional Terms/Acknowledgements: </w:t>
      </w:r>
      <w:r>
        <w:rPr>
          <w:rFonts w:ascii="Times New Roman" w:cs="Times New Roman" w:eastAsia="Times New Roman" w:hAnsi="Times New Roman"/>
          <w:sz w:val="19"/>
          <w:szCs w:val="19"/>
          <w:color w:val="auto"/>
        </w:rPr>
        <w:t>The undersigned Participant acknowledges that the Company has communicated to Participant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 is obligated to pay income taxes with respect to this Restricted Stock Award equal to the difference between the purchase price per share (if any) and the fair market value of the Company’s Common Stock per share and, following consultation with its tax advisor, to file an election on Form 83(b) with the Internal Revenue Service. The undersigned Participant acknowledges receipt of, and understands and agrees to, this Restricted Stock Award Grant Notice (the “</w:t>
      </w:r>
      <w:r>
        <w:rPr>
          <w:rFonts w:ascii="Times New Roman" w:cs="Times New Roman" w:eastAsia="Times New Roman" w:hAnsi="Times New Roman"/>
          <w:sz w:val="19"/>
          <w:szCs w:val="19"/>
          <w:b w:val="1"/>
          <w:bCs w:val="1"/>
          <w:i w:val="1"/>
          <w:iCs w:val="1"/>
          <w:color w:val="auto"/>
        </w:rPr>
        <w:t>Award Notice</w:t>
      </w:r>
      <w:r>
        <w:rPr>
          <w:rFonts w:ascii="Times New Roman" w:cs="Times New Roman" w:eastAsia="Times New Roman" w:hAnsi="Times New Roman"/>
          <w:sz w:val="19"/>
          <w:szCs w:val="19"/>
          <w:color w:val="auto"/>
        </w:rPr>
        <w:t>”), the Restricted Stock Award Agreement and the Plan. Participant consents to receive such documents by electronic delivery and to participate through an on-line or electronic system established and maintained by the Company or another third party designated by the Company. Participant further acknowledges that as of the Date of Grant, this Award Notice, the Restricted Stock Award Agreement and the Plan set forth the entire understanding between Participant and the Company regarding the acquisition of stock in the Company and supersede all prior oral and written agreements on that subject with the exception of:</w:t>
      </w:r>
    </w:p>
    <w:p>
      <w:pPr>
        <w:spacing w:after="0" w:line="2" w:lineRule="exact"/>
        <w:rPr>
          <w:sz w:val="20"/>
          <w:szCs w:val="20"/>
          <w:color w:val="auto"/>
        </w:rPr>
      </w:pPr>
    </w:p>
    <w:p>
      <w:pPr>
        <w:ind w:firstLine="8"/>
        <w:spacing w:after="0" w:line="246" w:lineRule="auto"/>
        <w:tabs>
          <w:tab w:leader="none" w:pos="25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awards or other compensatory stock awards previously or concurrently granted and delivered to Participant, and (ii) the following agreements only</w:t>
      </w:r>
    </w:p>
    <w:p>
      <w:pPr>
        <w:sectPr>
          <w:pgSz w:w="11900" w:h="16838" w:orient="portrait"/>
          <w:cols w:equalWidth="0" w:num="1">
            <w:col w:w="11240"/>
          </w:cols>
          <w:pgMar w:left="320" w:top="356" w:right="33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M3 BIOTECHNOLOGY,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ARTICIPANT</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ectPr>
          <w:pgSz w:w="11900" w:h="16838" w:orient="portrait"/>
          <w:cols w:equalWidth="0" w:num="2">
            <w:col w:w="4900" w:space="720"/>
            <w:col w:w="5620"/>
          </w:cols>
          <w:pgMar w:left="320" w:top="356"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ectPr>
          <w:pgSz w:w="11900" w:h="16838" w:orient="portrait"/>
          <w:cols w:equalWidth="0" w:num="1">
            <w:col w:w="11240"/>
          </w:cols>
          <w:pgMar w:left="320" w:top="356" w:right="3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Leen Kawas, Chief Executive Officer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w:t>
      </w:r>
    </w:p>
    <w:p>
      <w:pPr>
        <w:spacing w:after="0" w:line="200" w:lineRule="exact"/>
        <w:rPr>
          <w:sz w:val="20"/>
          <w:szCs w:val="20"/>
          <w:color w:val="auto"/>
        </w:rPr>
      </w:pPr>
    </w:p>
    <w:p>
      <w:pPr>
        <w:sectPr>
          <w:pgSz w:w="11900" w:h="16838" w:orient="portrait"/>
          <w:cols w:equalWidth="0" w:num="2">
            <w:col w:w="7340" w:space="720"/>
            <w:col w:w="3180"/>
          </w:cols>
          <w:pgMar w:left="320" w:top="356"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518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ectPr>
          <w:pgSz w:w="11900" w:h="16838" w:orient="portrait"/>
          <w:cols w:equalWidth="0" w:num="2">
            <w:col w:w="4900" w:space="720"/>
            <w:col w:w="5620"/>
          </w:cols>
          <w:pgMar w:left="320" w:top="356" w:right="339" w:bottom="1440" w:gutter="0" w:footer="0" w:header="0"/>
          <w:type w:val="continuous"/>
        </w:sectPr>
      </w:pPr>
    </w:p>
    <w:p>
      <w:pPr>
        <w:spacing w:after="0" w:line="3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20"/>
          <w:szCs w:val="20"/>
          <w:color w:val="auto"/>
        </w:rPr>
        <w:t>: Restricted Stock Award Agreement, form of Assignment Separate from Certificate, form of Joint Escrow Instructions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2014 Equity Incentive Plan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305" w:name="page306"/>
    <w:bookmarkEnd w:id="305"/>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20"/>
          <w:szCs w:val="20"/>
          <w:b w:val="1"/>
          <w:bCs w:val="1"/>
          <w:color w:val="auto"/>
        </w:rPr>
        <w:t xml:space="preserv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2014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190"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color w:val="auto"/>
        </w:rPr>
        <w:t>Pursuant to the Restricted Stock Award Grant Notice (the “</w:t>
      </w:r>
      <w:r>
        <w:rPr>
          <w:rFonts w:ascii="Times New Roman" w:cs="Times New Roman" w:eastAsia="Times New Roman" w:hAnsi="Times New Roman"/>
          <w:sz w:val="20"/>
          <w:szCs w:val="20"/>
          <w:b w:val="1"/>
          <w:bCs w:val="1"/>
          <w:i w:val="1"/>
          <w:iCs w:val="1"/>
          <w:color w:val="auto"/>
        </w:rPr>
        <w:t>Award Notice</w:t>
      </w:r>
      <w:r>
        <w:rPr>
          <w:rFonts w:ascii="Times New Roman" w:cs="Times New Roman" w:eastAsia="Times New Roman" w:hAnsi="Times New Roman"/>
          <w:sz w:val="20"/>
          <w:szCs w:val="20"/>
          <w:color w:val="auto"/>
        </w:rPr>
        <w:t>”) and this Restricted Stock Award Agreement and in consideration of your services, M3 Biotechnology,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awarded you a stock award under its 2014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for the number of shares of the Company’s Common Stock as indicated in the Award Notice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Capitalized terms not explicitly defined in this Restricted Stock Award Agreement but defined in the Plan shall have the same definitions as in the Plan.</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The details of your Award are as follows:</w:t>
      </w:r>
    </w:p>
    <w:p>
      <w:pPr>
        <w:spacing w:after="0" w:line="212" w:lineRule="exact"/>
        <w:rPr>
          <w:sz w:val="20"/>
          <w:szCs w:val="20"/>
          <w:color w:val="auto"/>
        </w:rPr>
      </w:pPr>
    </w:p>
    <w:p>
      <w:pPr>
        <w:ind w:firstLine="840"/>
        <w:spacing w:after="0" w:line="273" w:lineRule="auto"/>
        <w:tabs>
          <w:tab w:leader="none" w:pos="1628"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20"/>
          <w:szCs w:val="20"/>
          <w:color w:val="auto"/>
        </w:rPr>
        <w:t>. Subject to the limitations contained herein, your Award will vest as provided in the Award Notice,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vesting will cease upon the termination of your Continuous Service in accordance with the terms of the Plan.</w:t>
      </w:r>
    </w:p>
    <w:p>
      <w:pPr>
        <w:spacing w:after="0" w:line="151" w:lineRule="exact"/>
        <w:rPr>
          <w:rFonts w:ascii="Times New Roman" w:cs="Times New Roman" w:eastAsia="Times New Roman" w:hAnsi="Times New Roman"/>
          <w:sz w:val="20"/>
          <w:szCs w:val="20"/>
          <w:b w:val="1"/>
          <w:bCs w:val="1"/>
          <w:color w:val="auto"/>
        </w:rPr>
      </w:pPr>
    </w:p>
    <w:p>
      <w:pPr>
        <w:ind w:left="1640" w:hanging="800"/>
        <w:spacing w:after="0"/>
        <w:tabs>
          <w:tab w:leader="none" w:pos="164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UMBER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color w:val="auto"/>
        </w:rPr>
        <w:t>. The number of shares subject to your Award may be adjusted from time to time for Capitalization</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Adjustments.</w:t>
      </w:r>
    </w:p>
    <w:p>
      <w:pPr>
        <w:spacing w:after="0" w:line="189" w:lineRule="exact"/>
        <w:rPr>
          <w:rFonts w:ascii="Times New Roman" w:cs="Times New Roman" w:eastAsia="Times New Roman" w:hAnsi="Times New Roman"/>
          <w:sz w:val="20"/>
          <w:szCs w:val="20"/>
          <w:b w:val="1"/>
          <w:bCs w:val="1"/>
          <w:color w:val="auto"/>
        </w:rPr>
      </w:pPr>
    </w:p>
    <w:p>
      <w:pPr>
        <w:jc w:val="both"/>
        <w:ind w:firstLine="840"/>
        <w:spacing w:after="0" w:line="247" w:lineRule="auto"/>
        <w:tabs>
          <w:tab w:leader="none" w:pos="1628"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ECURITIES</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OMPLIANCE</w:t>
      </w:r>
      <w:r>
        <w:rPr>
          <w:rFonts w:ascii="Times New Roman" w:cs="Times New Roman" w:eastAsia="Times New Roman" w:hAnsi="Times New Roman"/>
          <w:sz w:val="20"/>
          <w:szCs w:val="20"/>
          <w:color w:val="auto"/>
        </w:rPr>
        <w:t>. You may not be issued any shares of Common Stock under your Award unless the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then registered under the Securities Act or, if such shares of Common Stock are not then so registered, the Company has determined that such issuance would be exempt from the registration requirements of the Securities Act. Your Award must also comply with other applicable laws and regulations governing the Award, and you will not receive shares of Common Stock under your Award if the Company determines that such receipt would not be in material compliance with such laws and regulations.</w:t>
      </w:r>
    </w:p>
    <w:p>
      <w:pPr>
        <w:spacing w:after="0" w:line="180" w:lineRule="exact"/>
        <w:rPr>
          <w:rFonts w:ascii="Times New Roman" w:cs="Times New Roman" w:eastAsia="Times New Roman" w:hAnsi="Times New Roman"/>
          <w:sz w:val="20"/>
          <w:szCs w:val="20"/>
          <w:b w:val="1"/>
          <w:bCs w:val="1"/>
          <w:color w:val="auto"/>
        </w:rPr>
      </w:pPr>
    </w:p>
    <w:p>
      <w:pPr>
        <w:jc w:val="both"/>
        <w:ind w:firstLine="840"/>
        <w:spacing w:after="0" w:line="242" w:lineRule="auto"/>
        <w:tabs>
          <w:tab w:leader="none" w:pos="1628"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ARKET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TAND</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FF</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color w:val="auto"/>
        </w:rPr>
        <w:t>. By acquiring shares of Common Stock under your Award you agree that you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 dispose of, transfer, make any short sale of, grant any option for the purchase of, or enter into any hedging or similar transaction with the same economic effect as a sale, any shares of Common Stock or other securities of the Company held by you, for a period of 180 days following the effective date of a registration statement of the Company filed under the Securities Act or such longer period as necessary to permit compliance with NASD Rule 2711 or NYSE Member Rule 472 and similar or rules and regulations (the “</w:t>
      </w:r>
      <w:r>
        <w:rPr>
          <w:rFonts w:ascii="Times New Roman" w:cs="Times New Roman" w:eastAsia="Times New Roman" w:hAnsi="Times New Roman"/>
          <w:sz w:val="20"/>
          <w:szCs w:val="20"/>
          <w:b w:val="1"/>
          <w:bCs w:val="1"/>
          <w:i w:val="1"/>
          <w:iCs w:val="1"/>
          <w:color w:val="auto"/>
        </w:rPr>
        <w:t>Lock-Up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nothing contained in this Section 4 shall prevent the exercise of a repurchase right, if any, in favor of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the Lock-Up Period. You further agree to execute and deliver such other agreements as may be reasonably requested by the Company and/or the underwriters that are consistent with the foregoing or that are necessary to give further effect thereto. To enforce the foregoing covenant, the Company may impose stop-transfer instructions with respect to your shares of Common Stock until the end of such period. The underwriters of the Company’s stock are intended third party beneficiaries of this Section 4 and shall have the right, power, and authority to enforce the provision hereof as though they were a party hereto.</w:t>
      </w:r>
    </w:p>
    <w:p>
      <w:pPr>
        <w:spacing w:after="0" w:line="189" w:lineRule="exact"/>
        <w:rPr>
          <w:rFonts w:ascii="Times New Roman" w:cs="Times New Roman" w:eastAsia="Times New Roman" w:hAnsi="Times New Roman"/>
          <w:sz w:val="20"/>
          <w:szCs w:val="20"/>
          <w:b w:val="1"/>
          <w:bCs w:val="1"/>
          <w:color w:val="auto"/>
        </w:rPr>
      </w:pPr>
    </w:p>
    <w:p>
      <w:pPr>
        <w:ind w:firstLine="840"/>
        <w:spacing w:after="0" w:line="273" w:lineRule="auto"/>
        <w:tabs>
          <w:tab w:leader="none" w:pos="1628"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IGHT OF</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IRST</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EFUSAL</w:t>
      </w:r>
      <w:r>
        <w:rPr>
          <w:rFonts w:ascii="Times New Roman" w:cs="Times New Roman" w:eastAsia="Times New Roman" w:hAnsi="Times New Roman"/>
          <w:sz w:val="20"/>
          <w:szCs w:val="20"/>
          <w:color w:val="auto"/>
        </w:rPr>
        <w:t>. Shares that are received under your Award are subject to any right of first refusal that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described in the Company’s bylaws in effect at such time the Company elects to exercise its right.</w:t>
      </w:r>
    </w:p>
    <w:p>
      <w:pPr>
        <w:spacing w:after="0" w:line="151" w:lineRule="exact"/>
        <w:rPr>
          <w:rFonts w:ascii="Times New Roman" w:cs="Times New Roman" w:eastAsia="Times New Roman" w:hAnsi="Times New Roman"/>
          <w:sz w:val="20"/>
          <w:szCs w:val="20"/>
          <w:b w:val="1"/>
          <w:bCs w:val="1"/>
          <w:color w:val="auto"/>
        </w:rPr>
      </w:pPr>
    </w:p>
    <w:p>
      <w:pPr>
        <w:ind w:left="1640" w:hanging="800"/>
        <w:spacing w:after="0"/>
        <w:tabs>
          <w:tab w:leader="none" w:pos="164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IGHT OF</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EPURCHASE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right="20" w:firstLine="1671"/>
        <w:spacing w:after="0" w:line="269" w:lineRule="auto"/>
        <w:tabs>
          <w:tab w:leader="none" w:pos="2542" w:val="left"/>
        </w:tabs>
        <w:numPr>
          <w:ilvl w:val="1"/>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“Repurchase Limitation” in Section 8(l) of the Plan, the Company will have a Repurchase Right (as defined below) as to the shares you received pursuant to your Award that have not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0"/>
          <w:szCs w:val="20"/>
          <w:color w:val="auto"/>
        </w:rPr>
        <w:t>as yet vested in accordance with the Vesting Schedule in the Award Notice (the “</w:t>
      </w:r>
      <w:r>
        <w:rPr>
          <w:rFonts w:ascii="Times New Roman" w:cs="Times New Roman" w:eastAsia="Times New Roman" w:hAnsi="Times New Roman"/>
          <w:sz w:val="20"/>
          <w:szCs w:val="20"/>
          <w:b w:val="1"/>
          <w:bCs w:val="1"/>
          <w:i w:val="1"/>
          <w:iCs w:val="1"/>
          <w:color w:val="auto"/>
        </w:rPr>
        <w:t>Unvested Shares</w:t>
      </w:r>
      <w:r>
        <w:rPr>
          <w:rFonts w:ascii="Times New Roman" w:cs="Times New Roman" w:eastAsia="Times New Roman" w:hAnsi="Times New Roman"/>
          <w:sz w:val="20"/>
          <w:szCs w:val="20"/>
          <w:color w:val="auto"/>
        </w:rPr>
        <w:t>”) on the terms and conditions below.</w:t>
      </w:r>
    </w:p>
    <w:p>
      <w:pPr>
        <w:spacing w:after="0" w:line="220" w:lineRule="exact"/>
        <w:rPr>
          <w:sz w:val="20"/>
          <w:szCs w:val="20"/>
          <w:color w:val="auto"/>
        </w:rPr>
      </w:pPr>
    </w:p>
    <w:p>
      <w:pPr>
        <w:jc w:val="both"/>
        <w:ind w:firstLine="2504"/>
        <w:spacing w:after="0" w:line="243" w:lineRule="auto"/>
        <w:tabs>
          <w:tab w:leader="none" w:pos="3330"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will simultaneously with termination of your Continuous Service automatically reacquire for no consideration all of the Unvested Shares (the “</w:t>
      </w:r>
      <w:r>
        <w:rPr>
          <w:rFonts w:ascii="Times New Roman" w:cs="Times New Roman" w:eastAsia="Times New Roman" w:hAnsi="Times New Roman"/>
          <w:sz w:val="20"/>
          <w:szCs w:val="20"/>
          <w:b w:val="1"/>
          <w:bCs w:val="1"/>
          <w:i w:val="1"/>
          <w:iCs w:val="1"/>
          <w:color w:val="auto"/>
        </w:rPr>
        <w:t>Repurchase Right</w:t>
      </w:r>
      <w:r>
        <w:rPr>
          <w:rFonts w:ascii="Times New Roman" w:cs="Times New Roman" w:eastAsia="Times New Roman" w:hAnsi="Times New Roman"/>
          <w:sz w:val="20"/>
          <w:szCs w:val="20"/>
          <w:color w:val="auto"/>
        </w:rPr>
        <w:t>”), unless the Company agrees to waive its Repurchase Right as to some or all of the Unvested Shares. Any such waiver shall be exercised by the Company by written notice to you or your representative (with a copy to the Secretary of the Company or the Secretary’s designee (the “</w:t>
      </w:r>
      <w:r>
        <w:rPr>
          <w:rFonts w:ascii="Times New Roman" w:cs="Times New Roman" w:eastAsia="Times New Roman" w:hAnsi="Times New Roman"/>
          <w:sz w:val="20"/>
          <w:szCs w:val="20"/>
          <w:b w:val="1"/>
          <w:bCs w:val="1"/>
          <w:i w:val="1"/>
          <w:iCs w:val="1"/>
          <w:color w:val="auto"/>
        </w:rPr>
        <w:t>Escrow Holder</w:t>
      </w:r>
      <w:r>
        <w:rPr>
          <w:rFonts w:ascii="Times New Roman" w:cs="Times New Roman" w:eastAsia="Times New Roman" w:hAnsi="Times New Roman"/>
          <w:sz w:val="20"/>
          <w:szCs w:val="20"/>
          <w:color w:val="auto"/>
        </w:rPr>
        <w:t>”)) within 90 days after the termination of your Continuous Service, and the Escrow Holder may then release to you the number of Unvested Shares not being reacquired by the Company. If the Company does not waive its Repurchase Right as to all of the Unvested Shares, then upon expiration of the 90-day period, or upon earlier notice from the Company that it does not intend to waive such Right, the Escrow Holder shall transfer to the Company the number of shares the Company is reacquiring.</w:t>
      </w:r>
    </w:p>
    <w:p>
      <w:pPr>
        <w:spacing w:after="0" w:line="189" w:lineRule="exact"/>
        <w:rPr>
          <w:rFonts w:ascii="Times New Roman" w:cs="Times New Roman" w:eastAsia="Times New Roman" w:hAnsi="Times New Roman"/>
          <w:sz w:val="20"/>
          <w:szCs w:val="20"/>
          <w:b w:val="1"/>
          <w:bCs w:val="1"/>
          <w:color w:val="auto"/>
        </w:rPr>
      </w:pPr>
    </w:p>
    <w:p>
      <w:pPr>
        <w:jc w:val="both"/>
        <w:ind w:firstLine="2504"/>
        <w:spacing w:after="0" w:line="246" w:lineRule="auto"/>
        <w:tabs>
          <w:tab w:leader="none" w:pos="3385"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The shares issued under your Award shall be held in escrow pursuant to the terms of the Joint Escrow Instructions attached to the Award Notice as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III</w:t>
      </w:r>
      <w:r>
        <w:rPr>
          <w:rFonts w:ascii="Times New Roman" w:cs="Times New Roman" w:eastAsia="Times New Roman" w:hAnsi="Times New Roman"/>
          <w:sz w:val="20"/>
          <w:szCs w:val="20"/>
          <w:color w:val="auto"/>
        </w:rPr>
        <w:t xml:space="preserve">. You agree to execute two forms of Assignment Separate From Certificate (with date and number of shares blank) substantially in the form attached to the Award Notice as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II</w:t>
      </w:r>
      <w:r>
        <w:rPr>
          <w:rFonts w:ascii="Times New Roman" w:cs="Times New Roman" w:eastAsia="Times New Roman" w:hAnsi="Times New Roman"/>
          <w:sz w:val="20"/>
          <w:szCs w:val="20"/>
          <w:color w:val="auto"/>
        </w:rPr>
        <w:t xml:space="preserve"> and deliver the same, along with the certificate or certificates evidencing the shares, for use by the escrow agent pursuant to the terms of the Joint Escrow Instructions.</w:t>
      </w:r>
    </w:p>
    <w:p>
      <w:pPr>
        <w:spacing w:after="0" w:line="184" w:lineRule="exact"/>
        <w:rPr>
          <w:rFonts w:ascii="Times New Roman" w:cs="Times New Roman" w:eastAsia="Times New Roman" w:hAnsi="Times New Roman"/>
          <w:sz w:val="20"/>
          <w:szCs w:val="20"/>
          <w:b w:val="1"/>
          <w:bCs w:val="1"/>
          <w:color w:val="auto"/>
        </w:rPr>
      </w:pPr>
    </w:p>
    <w:p>
      <w:pPr>
        <w:jc w:val="both"/>
        <w:ind w:firstLine="2504"/>
        <w:spacing w:after="0" w:line="266" w:lineRule="auto"/>
        <w:tabs>
          <w:tab w:leader="none" w:pos="3440" w:val="left"/>
        </w:tabs>
        <w:numPr>
          <w:ilvl w:val="0"/>
          <w:numId w:val="19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Subject to the provisions of your Award, you shall, during the term of your Award, exercise all rights and privileges of a stockholder of the Company with respect to the shares deposited in escrow. You shall be deemed to be the holder of such shares for purposes of receiving any dividends that may be paid with respect to such shares and for purposes of exercising any voting rights relating to such shares, even if some or all of such shares have not yet vested and been released from the Company’s Repurchase Right.</w:t>
      </w:r>
    </w:p>
    <w:p>
      <w:pPr>
        <w:spacing w:after="0" w:line="165" w:lineRule="exact"/>
        <w:rPr>
          <w:rFonts w:ascii="Times New Roman" w:cs="Times New Roman" w:eastAsia="Times New Roman" w:hAnsi="Times New Roman"/>
          <w:sz w:val="19"/>
          <w:szCs w:val="19"/>
          <w:b w:val="1"/>
          <w:bCs w:val="1"/>
          <w:color w:val="auto"/>
        </w:rPr>
      </w:pPr>
    </w:p>
    <w:p>
      <w:pPr>
        <w:jc w:val="both"/>
        <w:ind w:firstLine="2504"/>
        <w:spacing w:after="0" w:line="246" w:lineRule="auto"/>
        <w:tabs>
          <w:tab w:leader="none" w:pos="3429"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from time to time, there is any stock dividend, stock split or other change in the character or amount of any of the outstanding stock of the corporation the stock of which is subject to the provisions of your Award, then in such event any and all new, substituted or additional securities to which you are entitled by reason of your ownership of the shares acquired under your Award shall be immediately subject to the Repurchase Right with the same force and effect as the shares subject to this Repurchase Right immediately before such event.</w:t>
      </w:r>
    </w:p>
    <w:p>
      <w:pPr>
        <w:spacing w:after="0" w:line="184" w:lineRule="exact"/>
        <w:rPr>
          <w:rFonts w:ascii="Times New Roman" w:cs="Times New Roman" w:eastAsia="Times New Roman" w:hAnsi="Times New Roman"/>
          <w:sz w:val="20"/>
          <w:szCs w:val="20"/>
          <w:b w:val="1"/>
          <w:bCs w:val="1"/>
          <w:color w:val="auto"/>
        </w:rPr>
      </w:pPr>
    </w:p>
    <w:p>
      <w:pPr>
        <w:jc w:val="both"/>
        <w:ind w:firstLine="2504"/>
        <w:spacing w:after="0" w:line="245" w:lineRule="auto"/>
        <w:tabs>
          <w:tab w:leader="none" w:pos="3374"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Corporate Transaction, the Board may provide that this Repurchase Right may be assigned by the Company to the surviving or acquiring corporation (or the surviving or acquiring corporation’s parent company), if any, in connection with such transaction or that this Repurchase Right may lapse in connection with the Corporate Transaction. To the extent the Repurchase Right remains in effect following such transaction, it shall apply to the new capital stock, cash or other property received in exchange for the Unvested Shares in consummation of the transaction, but only to the extent the Unvested Shares were at the time covered by such right.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307" w:name="page308"/>
    <w:bookmarkEnd w:id="307"/>
    <w:p>
      <w:pPr>
        <w:jc w:val="both"/>
        <w:ind w:firstLine="2504"/>
        <w:spacing w:after="0" w:line="259" w:lineRule="auto"/>
        <w:tabs>
          <w:tab w:leader="none" w:pos="3429" w:val="left"/>
        </w:tabs>
        <w:numPr>
          <w:ilvl w:val="2"/>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In addition to any other limitation on transfer created by applicable securities laws, you shall not sell, assign, hypothecate, donate, encumber, or otherwise dispose of the Unvested Shares or any interest in the Unvested Shares while such shares are subject to the Repurchase Right or continue to be held in escrow pursuant to the Joint Escrow Instructions;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Unvested Shares or any interest therein may be transferred pursuant to a qualified domestic relations order as defined in the Code or in Title I of the Employee Retirement Income Security Act. After any such shares of Common Stock subject to this Award have been released from escrow pursuant to the Joint Escrow Instructions, you shall not sell, assign, hypothecate, donate, encumber, or otherwise dispose of such Common Stock or any interest in the Common Stock except in compliance with the provisions herein and applicable securities laws.</w:t>
      </w:r>
    </w:p>
    <w:p>
      <w:pPr>
        <w:spacing w:after="0" w:line="168" w:lineRule="exact"/>
        <w:rPr>
          <w:rFonts w:ascii="Times New Roman" w:cs="Times New Roman" w:eastAsia="Times New Roman" w:hAnsi="Times New Roman"/>
          <w:sz w:val="19"/>
          <w:szCs w:val="19"/>
          <w:b w:val="1"/>
          <w:bCs w:val="1"/>
          <w:color w:val="auto"/>
        </w:rPr>
      </w:pPr>
    </w:p>
    <w:p>
      <w:pPr>
        <w:ind w:left="1640" w:hanging="800"/>
        <w:spacing w:after="0"/>
        <w:tabs>
          <w:tab w:leader="none" w:pos="164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ESTRICTIVE</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EGENDS</w:t>
      </w:r>
      <w:r>
        <w:rPr>
          <w:rFonts w:ascii="Times New Roman" w:cs="Times New Roman" w:eastAsia="Times New Roman" w:hAnsi="Times New Roman"/>
          <w:sz w:val="20"/>
          <w:szCs w:val="20"/>
          <w:color w:val="auto"/>
        </w:rPr>
        <w:t>. The shares issued under your Award shall be endorsed with appropriate legends determined by</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w:t>
      </w:r>
    </w:p>
    <w:p>
      <w:pPr>
        <w:spacing w:after="0" w:line="189" w:lineRule="exact"/>
        <w:rPr>
          <w:rFonts w:ascii="Times New Roman" w:cs="Times New Roman" w:eastAsia="Times New Roman" w:hAnsi="Times New Roman"/>
          <w:sz w:val="20"/>
          <w:szCs w:val="20"/>
          <w:b w:val="1"/>
          <w:bCs w:val="1"/>
          <w:color w:val="auto"/>
        </w:rPr>
      </w:pPr>
    </w:p>
    <w:p>
      <w:pPr>
        <w:jc w:val="both"/>
        <w:ind w:firstLine="840"/>
        <w:spacing w:after="0" w:line="247" w:lineRule="auto"/>
        <w:tabs>
          <w:tab w:leader="none" w:pos="1628"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 A</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ONTRACT</w:t>
      </w:r>
      <w:r>
        <w:rPr>
          <w:rFonts w:ascii="Times New Roman" w:cs="Times New Roman" w:eastAsia="Times New Roman" w:hAnsi="Times New Roman"/>
          <w:sz w:val="20"/>
          <w:szCs w:val="20"/>
          <w:color w:val="auto"/>
        </w:rPr>
        <w:t>. Your Award is not an employment or service contract, and nothing in your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deemed to create in any way whatsoever any obligation on your part to continue in the employ of the Company or an Affiliate, or on the part of the Company or an Affiliate to continue your employment. In addition, nothing in your Award shall obligate the Company or an Affiliate, their respective stockholders, boards of directors, Officers or Employees to continue any relationship that you might have as a Director or Consultant for the Company or an Affiliate.</w:t>
      </w:r>
    </w:p>
    <w:p>
      <w:pPr>
        <w:spacing w:after="0" w:line="180" w:lineRule="exact"/>
        <w:rPr>
          <w:rFonts w:ascii="Times New Roman" w:cs="Times New Roman" w:eastAsia="Times New Roman" w:hAnsi="Times New Roman"/>
          <w:sz w:val="20"/>
          <w:szCs w:val="20"/>
          <w:b w:val="1"/>
          <w:bCs w:val="1"/>
          <w:color w:val="auto"/>
        </w:rPr>
      </w:pPr>
    </w:p>
    <w:p>
      <w:pPr>
        <w:ind w:left="1640" w:hanging="800"/>
        <w:spacing w:after="0"/>
        <w:tabs>
          <w:tab w:leader="none" w:pos="164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671"/>
        <w:spacing w:after="0" w:line="242" w:lineRule="auto"/>
        <w:tabs>
          <w:tab w:leader="none" w:pos="2542" w:val="left"/>
        </w:tabs>
        <w:numPr>
          <w:ilvl w:val="1"/>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 the time your Award is made, or at any time thereafter as requested by the Company, you hereby authorize withholding from payroll and any other amounts payable to you, and otherwise agree to make adequate provision for any sums required to satisfy the federal, state, local and foreign tax withholding obligations of the Company or an Affiliate, if any, which arise in connection with your Award (the “</w:t>
      </w:r>
      <w:r>
        <w:rPr>
          <w:rFonts w:ascii="Times New Roman" w:cs="Times New Roman" w:eastAsia="Times New Roman" w:hAnsi="Times New Roman"/>
          <w:sz w:val="20"/>
          <w:szCs w:val="20"/>
          <w:b w:val="1"/>
          <w:bCs w:val="1"/>
          <w:i w:val="1"/>
          <w:iCs w:val="1"/>
          <w:color w:val="auto"/>
        </w:rPr>
        <w:t>Withholding Taxes</w:t>
      </w:r>
      <w:r>
        <w:rPr>
          <w:rFonts w:ascii="Times New Roman" w:cs="Times New Roman" w:eastAsia="Times New Roman" w:hAnsi="Times New Roman"/>
          <w:sz w:val="20"/>
          <w:szCs w:val="20"/>
          <w:color w:val="auto"/>
        </w:rPr>
        <w:t xml:space="preserve">”). The Company may, in its sole discretion, satisfy all or any portion of the Withholding Taxes obligation relating to your Award by any of the following means or by a combination of such means: (i) withholding from any amounts otherwise payable to you by the Company; (ii) causing you to tender a cash payment; or (iii) withholding shares of Common Stock from the shares of Common Stock issued or otherwise issuable to you in connection with the Award with a Fair Market Value equal to the amount of such Withholding Taxes;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or (v) withholding cash from an Award settled in cash.</w:t>
      </w:r>
    </w:p>
    <w:p>
      <w:pPr>
        <w:spacing w:after="0" w:line="189" w:lineRule="exact"/>
        <w:rPr>
          <w:rFonts w:ascii="Times New Roman" w:cs="Times New Roman" w:eastAsia="Times New Roman" w:hAnsi="Times New Roman"/>
          <w:sz w:val="20"/>
          <w:szCs w:val="20"/>
          <w:b w:val="1"/>
          <w:bCs w:val="1"/>
          <w:color w:val="auto"/>
        </w:rPr>
      </w:pPr>
    </w:p>
    <w:p>
      <w:pPr>
        <w:ind w:firstLine="1671"/>
        <w:spacing w:after="0" w:line="269" w:lineRule="auto"/>
        <w:tabs>
          <w:tab w:leader="none" w:pos="2553" w:val="left"/>
        </w:tabs>
        <w:numPr>
          <w:ilvl w:val="1"/>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the tax withholding obligations of the Company and/or any Affiliate are satisfied, the Company shall have no obligation to issue a certificate for such shares or release such shares from any escrow provided for herein.</w:t>
      </w:r>
    </w:p>
    <w:p>
      <w:pPr>
        <w:spacing w:after="0" w:line="155" w:lineRule="exact"/>
        <w:rPr>
          <w:rFonts w:ascii="Times New Roman" w:cs="Times New Roman" w:eastAsia="Times New Roman" w:hAnsi="Times New Roman"/>
          <w:sz w:val="20"/>
          <w:szCs w:val="20"/>
          <w:b w:val="1"/>
          <w:bCs w:val="1"/>
          <w:color w:val="auto"/>
        </w:rPr>
      </w:pPr>
    </w:p>
    <w:p>
      <w:pPr>
        <w:jc w:val="both"/>
        <w:ind w:firstLine="840"/>
        <w:spacing w:after="0" w:line="247" w:lineRule="auto"/>
        <w:tabs>
          <w:tab w:leader="none" w:pos="1727"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ONSEQUENCES</w:t>
      </w:r>
      <w:r>
        <w:rPr>
          <w:rFonts w:ascii="Times New Roman" w:cs="Times New Roman" w:eastAsia="Times New Roman" w:hAnsi="Times New Roman"/>
          <w:sz w:val="20"/>
          <w:szCs w:val="20"/>
          <w:color w:val="auto"/>
        </w:rPr>
        <w:t>. The acquisition and vesting of the shares may have adverse tax consequences to you that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avoided or mitigated by filing an election under Section 83(b) of the Code. Such election must be filed within 30 days after the date of your Award. YOU ACKNOWLEDGE THAT IT IS YOUR OWN RESPONSIBILITY, AND NOT THE COMPANY’S, TO FILE A TIMELY ELECTION UNDER SECTION 83(B) OF THE CODE, EVEN IF YOU REQUEST THE COMPANY TO MAKE THE FILING ON YOUR BEHALF.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8" w:name="page309"/>
    <w:bookmarkEnd w:id="308"/>
    <w:p>
      <w:pPr>
        <w:jc w:val="both"/>
        <w:ind w:firstLine="840"/>
        <w:spacing w:after="0" w:line="256" w:lineRule="auto"/>
        <w:tabs>
          <w:tab w:leader="none" w:pos="1716" w:val="left"/>
        </w:tabs>
        <w:numPr>
          <w:ilvl w:val="0"/>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OTICES</w:t>
      </w:r>
      <w:r>
        <w:rPr>
          <w:rFonts w:ascii="Times New Roman" w:cs="Times New Roman" w:eastAsia="Times New Roman" w:hAnsi="Times New Roman"/>
          <w:sz w:val="20"/>
          <w:szCs w:val="20"/>
          <w:color w:val="auto"/>
        </w:rPr>
        <w:t>. Any notices provided for in your Award or the Plan shall be given in writing and shall be deemed effectively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given upon receipt or, in the case of notices delivered by the Company to you, five days after deposit in the United States mail, postage prepaid, addressed to you at the last address you provided to the Company.</w:t>
      </w:r>
    </w:p>
    <w:p>
      <w:pPr>
        <w:spacing w:after="0" w:line="168" w:lineRule="exact"/>
        <w:rPr>
          <w:rFonts w:ascii="Times New Roman" w:cs="Times New Roman" w:eastAsia="Times New Roman" w:hAnsi="Times New Roman"/>
          <w:sz w:val="20"/>
          <w:szCs w:val="20"/>
          <w:b w:val="1"/>
          <w:bCs w:val="1"/>
          <w:color w:val="auto"/>
        </w:rPr>
      </w:pPr>
    </w:p>
    <w:p>
      <w:pPr>
        <w:ind w:left="1740" w:hanging="900"/>
        <w:spacing w:after="0"/>
        <w:tabs>
          <w:tab w:leader="none" w:pos="1740" w:val="left"/>
        </w:tabs>
        <w:numPr>
          <w:ilvl w:val="0"/>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671"/>
        <w:spacing w:after="0" w:line="249" w:lineRule="auto"/>
        <w:tabs>
          <w:tab w:leader="none" w:pos="2542" w:val="left"/>
        </w:tabs>
        <w:numPr>
          <w:ilvl w:val="1"/>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rights and obligations of the Company under your Award shall be transferable to any one or more persons or entities, and all covenants and agreements hereunder shall inure to the benefit of, and be enforceable by the Company’s successors and assigns. Your rights and obligations under your Award may be assigned only with the prior written consent of the Board, which consent may be withheld in the Board’s sole discretion.</w:t>
      </w:r>
    </w:p>
    <w:p>
      <w:pPr>
        <w:spacing w:after="0" w:line="179" w:lineRule="exact"/>
        <w:rPr>
          <w:rFonts w:ascii="Times New Roman" w:cs="Times New Roman" w:eastAsia="Times New Roman" w:hAnsi="Times New Roman"/>
          <w:sz w:val="20"/>
          <w:szCs w:val="20"/>
          <w:b w:val="1"/>
          <w:bCs w:val="1"/>
          <w:color w:val="auto"/>
        </w:rPr>
      </w:pPr>
    </w:p>
    <w:p>
      <w:pPr>
        <w:ind w:right="20" w:firstLine="1671"/>
        <w:spacing w:after="0" w:line="269" w:lineRule="auto"/>
        <w:tabs>
          <w:tab w:leader="none" w:pos="2553" w:val="left"/>
        </w:tabs>
        <w:numPr>
          <w:ilvl w:val="1"/>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agree upon request to execute any further documents or instruments necessary or desirable in the sole determination of the Company to carry out the purposes or intent of your Award.</w:t>
      </w:r>
    </w:p>
    <w:p>
      <w:pPr>
        <w:spacing w:after="0" w:line="159" w:lineRule="exact"/>
        <w:rPr>
          <w:rFonts w:ascii="Times New Roman" w:cs="Times New Roman" w:eastAsia="Times New Roman" w:hAnsi="Times New Roman"/>
          <w:sz w:val="20"/>
          <w:szCs w:val="20"/>
          <w:b w:val="1"/>
          <w:bCs w:val="1"/>
          <w:color w:val="auto"/>
        </w:rPr>
      </w:pPr>
    </w:p>
    <w:p>
      <w:pPr>
        <w:ind w:firstLine="1671"/>
        <w:spacing w:after="0" w:line="269" w:lineRule="auto"/>
        <w:tabs>
          <w:tab w:leader="none" w:pos="2531" w:val="left"/>
        </w:tabs>
        <w:numPr>
          <w:ilvl w:val="1"/>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55" w:lineRule="exact"/>
        <w:rPr>
          <w:rFonts w:ascii="Times New Roman" w:cs="Times New Roman" w:eastAsia="Times New Roman" w:hAnsi="Times New Roman"/>
          <w:sz w:val="20"/>
          <w:szCs w:val="20"/>
          <w:b w:val="1"/>
          <w:bCs w:val="1"/>
          <w:color w:val="auto"/>
        </w:rPr>
      </w:pPr>
    </w:p>
    <w:p>
      <w:pPr>
        <w:jc w:val="both"/>
        <w:ind w:firstLine="840"/>
        <w:spacing w:after="0" w:line="250" w:lineRule="auto"/>
        <w:tabs>
          <w:tab w:leader="none" w:pos="1727" w:val="left"/>
        </w:tabs>
        <w:numPr>
          <w:ilvl w:val="0"/>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20"/>
          <w:szCs w:val="20"/>
          <w:color w:val="auto"/>
        </w:rPr>
        <w:t>. Your Award is subject to all the provisions of the Plan, the provisions of which are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a part of your Award, and is further subject to all interpretations, amendments, rules and regulations that may from time to time be promulgated and adopted pursuant to the Plan. In the event of any conflict between the provisions of your Award and those of the Plan, the provisions of the Plan shall control.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20"/>
          <w:szCs w:val="20"/>
          <w:b w:val="1"/>
          <w:bCs w:val="1"/>
          <w:color w:val="auto"/>
        </w:rPr>
        <w:t xml:space="preserve"> 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SSIGNMENT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EPARATE FROM</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ERTIFICATE</w:t>
      </w:r>
    </w:p>
    <w:p>
      <w:pPr>
        <w:spacing w:after="0" w:line="216" w:lineRule="exact"/>
        <w:rPr>
          <w:sz w:val="20"/>
          <w:szCs w:val="20"/>
          <w:color w:val="auto"/>
        </w:rPr>
      </w:pPr>
    </w:p>
    <w:p>
      <w:pPr>
        <w:jc w:val="both"/>
        <w:ind w:firstLine="832"/>
        <w:spacing w:after="0" w:line="253"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3"/>
          <w:szCs w:val="13"/>
          <w:b w:val="1"/>
          <w:bCs w:val="1"/>
          <w:color w:val="auto"/>
        </w:rPr>
        <w:t>ALUE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ECEIVED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pursuant to that certain Restricted Stock Award Grant Notice and Restricted Stock Award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xml:space="preserve">”), _____________ hereby sells, assigns and transfers unto M3 Biotechnology, Inc., a Delaware corporation (the “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w:t>
      </w:r>
    </w:p>
    <w:p>
      <w:pPr>
        <w:spacing w:after="0"/>
        <w:rPr>
          <w:sz w:val="20"/>
          <w:szCs w:val="20"/>
          <w:color w:val="auto"/>
        </w:rPr>
      </w:pPr>
      <w:r>
        <w:rPr>
          <w:rFonts w:ascii="Times New Roman" w:cs="Times New Roman" w:eastAsia="Times New Roman" w:hAnsi="Times New Roman"/>
          <w:sz w:val="20"/>
          <w:szCs w:val="20"/>
          <w:color w:val="auto"/>
        </w:rPr>
        <w:t>___________________ (_______) shares of the Common Stock of the Company, standing in the undersigned’s name on the books of said</w:t>
      </w:r>
    </w:p>
    <w:p>
      <w:pPr>
        <w:spacing w:after="0"/>
        <w:rPr>
          <w:sz w:val="20"/>
          <w:szCs w:val="20"/>
          <w:color w:val="auto"/>
        </w:rPr>
      </w:pPr>
      <w:r>
        <w:rPr>
          <w:rFonts w:ascii="Times New Roman" w:cs="Times New Roman" w:eastAsia="Times New Roman" w:hAnsi="Times New Roman"/>
          <w:sz w:val="19"/>
          <w:szCs w:val="19"/>
          <w:color w:val="auto"/>
        </w:rPr>
        <w:t>corporation represented by Certificate No. ______ herewith and does hereby irrevocably constitute and appoint ______________ as attorney-</w:t>
      </w:r>
    </w:p>
    <w:p>
      <w:pPr>
        <w:spacing w:after="0" w:line="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in-fact to transfer the said stock on the books of the within named Company with full power of substitution in the premises. This Assignment Separate From Certificate may be used only in accordance with and subject to the terms and conditions of the Award, in connection with the repurchase of shares of Common Stock of the Company issued to the undersigned pursuant to the Award, and only to the extent that such shares remain subject to the Company’s Repurchase Right under the Award.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NSTRUCTION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Please do not fill in any blanks other than the signature line. The purpose of this Assignment Separate From Certificate is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enable the Company to exercise its Repurchase Right set forth in the Award without requiring additional signatures on your part.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20"/>
          <w:szCs w:val="20"/>
          <w:b w:val="1"/>
          <w:bCs w:val="1"/>
          <w:color w:val="auto"/>
        </w:rPr>
        <w:t xml:space="preserve"> 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w:t>
      </w:r>
      <w:r>
        <w:rPr>
          <w:rFonts w:ascii="Times New Roman" w:cs="Times New Roman" w:eastAsia="Times New Roman" w:hAnsi="Times New Roman"/>
          <w:sz w:val="13"/>
          <w:szCs w:val="13"/>
          <w:b w:val="1"/>
          <w:bCs w:val="1"/>
          <w:color w:val="auto"/>
        </w:rPr>
        <w:t>OINT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SCROW</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NSTRUCTIONS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Secretary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M3 Biotechnology,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Sir/Madam:</w:t>
      </w:r>
    </w:p>
    <w:p>
      <w:pPr>
        <w:spacing w:after="0" w:line="212" w:lineRule="exact"/>
        <w:rPr>
          <w:sz w:val="20"/>
          <w:szCs w:val="20"/>
          <w:color w:val="auto"/>
        </w:rPr>
      </w:pPr>
    </w:p>
    <w:p>
      <w:pPr>
        <w:jc w:val="both"/>
        <w:ind w:firstLine="832"/>
        <w:spacing w:after="0" w:line="248" w:lineRule="auto"/>
        <w:rPr>
          <w:sz w:val="20"/>
          <w:szCs w:val="20"/>
          <w:color w:val="auto"/>
        </w:rPr>
      </w:pPr>
      <w:r>
        <w:rPr>
          <w:rFonts w:ascii="Times New Roman" w:cs="Times New Roman" w:eastAsia="Times New Roman" w:hAnsi="Times New Roman"/>
          <w:sz w:val="20"/>
          <w:szCs w:val="20"/>
          <w:color w:val="auto"/>
        </w:rPr>
        <w:t>As Escrow Agent for both M3 Biotechnology,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undersigned recipient of stock of the Company (“</w:t>
      </w:r>
      <w:r>
        <w:rPr>
          <w:rFonts w:ascii="Times New Roman" w:cs="Times New Roman" w:eastAsia="Times New Roman" w:hAnsi="Times New Roman"/>
          <w:sz w:val="20"/>
          <w:szCs w:val="20"/>
          <w:b w:val="1"/>
          <w:bCs w:val="1"/>
          <w:i w:val="1"/>
          <w:iCs w:val="1"/>
          <w:color w:val="auto"/>
        </w:rPr>
        <w:t>Recipient</w:t>
      </w:r>
      <w:r>
        <w:rPr>
          <w:rFonts w:ascii="Times New Roman" w:cs="Times New Roman" w:eastAsia="Times New Roman" w:hAnsi="Times New Roman"/>
          <w:sz w:val="20"/>
          <w:szCs w:val="20"/>
          <w:color w:val="auto"/>
        </w:rPr>
        <w:t>”), you are hereby authorized and directed to hold the documents delivered to you pursuant to the terms of that certain Restricted Stock Award Grant Notice (the “</w:t>
      </w:r>
      <w:r>
        <w:rPr>
          <w:rFonts w:ascii="Times New Roman" w:cs="Times New Roman" w:eastAsia="Times New Roman" w:hAnsi="Times New Roman"/>
          <w:sz w:val="20"/>
          <w:szCs w:val="20"/>
          <w:b w:val="1"/>
          <w:bCs w:val="1"/>
          <w:i w:val="1"/>
          <w:iCs w:val="1"/>
          <w:color w:val="auto"/>
        </w:rPr>
        <w:t>Award Notice</w:t>
      </w:r>
      <w:r>
        <w:rPr>
          <w:rFonts w:ascii="Times New Roman" w:cs="Times New Roman" w:eastAsia="Times New Roman" w:hAnsi="Times New Roman"/>
          <w:sz w:val="20"/>
          <w:szCs w:val="20"/>
          <w:color w:val="auto"/>
        </w:rPr>
        <w:t>”), dated ________________________, to which a copy of these Joint</w:t>
      </w:r>
    </w:p>
    <w:p>
      <w:pPr>
        <w:spacing w:after="0" w:line="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Escrow Instructions is attached as Attachment III, and pursuant to the terms of that certain Restricted Stock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is Attachment I to the Award Notice, in accordance with the following instructions:</w:t>
      </w:r>
    </w:p>
    <w:p>
      <w:pPr>
        <w:spacing w:after="0" w:line="182" w:lineRule="exact"/>
        <w:rPr>
          <w:sz w:val="20"/>
          <w:szCs w:val="20"/>
          <w:color w:val="auto"/>
        </w:rPr>
      </w:pPr>
    </w:p>
    <w:p>
      <w:pPr>
        <w:jc w:val="both"/>
        <w:ind w:firstLine="840"/>
        <w:spacing w:after="0" w:line="249" w:lineRule="auto"/>
        <w:tabs>
          <w:tab w:leader="none" w:pos="162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Recipient ceases to render services to the Company or an Affiliate of the Company during the vesting period set forth in the Award Notice, the Company or its assignee will give to Recipient and you a written notice specifying that the shares of stock shall be transferred to the Company. Recipient and the Company hereby irrevocably authorize and direct you to close the transaction contemplated by such notice in accordance with the terms of said notice.</w:t>
      </w:r>
    </w:p>
    <w:p>
      <w:pPr>
        <w:spacing w:after="0" w:line="179" w:lineRule="exact"/>
        <w:rPr>
          <w:rFonts w:ascii="Times New Roman" w:cs="Times New Roman" w:eastAsia="Times New Roman" w:hAnsi="Times New Roman"/>
          <w:sz w:val="20"/>
          <w:szCs w:val="20"/>
          <w:color w:val="auto"/>
        </w:rPr>
      </w:pPr>
    </w:p>
    <w:p>
      <w:pPr>
        <w:jc w:val="both"/>
        <w:ind w:firstLine="840"/>
        <w:spacing w:after="0" w:line="254" w:lineRule="auto"/>
        <w:tabs>
          <w:tab w:leader="none" w:pos="162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you are directed (a) to date any stock assignments necessary for the transfer in question, (b) to fill in the number of shares being transferred, and (c) to deliver same, together with the certificate evidencing the shares of stock to be transferred, to the Company.</w:t>
      </w:r>
    </w:p>
    <w:p>
      <w:pPr>
        <w:spacing w:after="0" w:line="174" w:lineRule="exact"/>
        <w:rPr>
          <w:rFonts w:ascii="Times New Roman" w:cs="Times New Roman" w:eastAsia="Times New Roman" w:hAnsi="Times New Roman"/>
          <w:sz w:val="20"/>
          <w:szCs w:val="20"/>
          <w:color w:val="auto"/>
        </w:rPr>
      </w:pPr>
    </w:p>
    <w:p>
      <w:pPr>
        <w:jc w:val="both"/>
        <w:ind w:firstLine="840"/>
        <w:spacing w:after="0" w:line="246" w:lineRule="auto"/>
        <w:tabs>
          <w:tab w:leader="none" w:pos="162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Recipient irrevocably authorizes the Company to deposit with you any certificates evidencing shares of stock to be held by you hereunder and any additions and substitutions to said shares as specified in the Award Notice. Recipient does hereby irrevocably constitute and appoint you as Recipient’s attorneyinfact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w:t>
      </w:r>
    </w:p>
    <w:p>
      <w:pPr>
        <w:spacing w:after="0" w:line="184" w:lineRule="exact"/>
        <w:rPr>
          <w:rFonts w:ascii="Times New Roman" w:cs="Times New Roman" w:eastAsia="Times New Roman" w:hAnsi="Times New Roman"/>
          <w:sz w:val="20"/>
          <w:szCs w:val="20"/>
          <w:color w:val="auto"/>
        </w:rPr>
      </w:pPr>
    </w:p>
    <w:p>
      <w:pPr>
        <w:ind w:firstLine="840"/>
        <w:spacing w:after="0" w:line="269" w:lineRule="auto"/>
        <w:tabs>
          <w:tab w:leader="none" w:pos="162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escrow shall terminate upon vesting of the shares or upon the earlier return of the shares to the Company. Pursuant to the Company’s Repurchase Right or other forfeiture condition under the Plan</w:t>
      </w:r>
    </w:p>
    <w:p>
      <w:pPr>
        <w:spacing w:after="0" w:line="159" w:lineRule="exact"/>
        <w:rPr>
          <w:rFonts w:ascii="Times New Roman" w:cs="Times New Roman" w:eastAsia="Times New Roman" w:hAnsi="Times New Roman"/>
          <w:sz w:val="20"/>
          <w:szCs w:val="20"/>
          <w:color w:val="auto"/>
        </w:rPr>
      </w:pPr>
    </w:p>
    <w:p>
      <w:pPr>
        <w:jc w:val="both"/>
        <w:ind w:firstLine="840"/>
        <w:spacing w:after="0" w:line="254" w:lineRule="auto"/>
        <w:tabs>
          <w:tab w:leader="none" w:pos="162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termination of this escrow you should have in your possession any documents, securities, or other property belonging to Recipient, you shall deliver all of same to any pledgee entitled thereto or, if none, to Recipient and shall be discharged of all further obligations hereunder.</w:t>
      </w:r>
    </w:p>
    <w:p>
      <w:pPr>
        <w:spacing w:after="0" w:line="174" w:lineRule="exact"/>
        <w:rPr>
          <w:rFonts w:ascii="Times New Roman" w:cs="Times New Roman" w:eastAsia="Times New Roman" w:hAnsi="Times New Roman"/>
          <w:sz w:val="20"/>
          <w:szCs w:val="20"/>
          <w:color w:val="auto"/>
        </w:rPr>
      </w:pPr>
    </w:p>
    <w:p>
      <w:pPr>
        <w:ind w:left="1640" w:hanging="800"/>
        <w:spacing w:after="0"/>
        <w:tabs>
          <w:tab w:leader="none" w:pos="164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duties hereunder may be altered, amended, modified or revoked only by a writing signed by all of the parties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11" w:name="page312"/>
    <w:bookmarkEnd w:id="311"/>
    <w:p>
      <w:pPr>
        <w:jc w:val="both"/>
        <w:ind w:left="-20" w:firstLine="840"/>
        <w:spacing w:after="0" w:line="246" w:lineRule="auto"/>
        <w:tabs>
          <w:tab w:leader="none" w:pos="160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attorneyinfact for Recipient while acting in good faith and any act done or omitted by you pursuant to the advice of your own attorneys shall be conclusive evidence of such good faith.</w:t>
      </w:r>
    </w:p>
    <w:p>
      <w:pPr>
        <w:spacing w:after="0" w:line="184" w:lineRule="exact"/>
        <w:rPr>
          <w:rFonts w:ascii="Times New Roman" w:cs="Times New Roman" w:eastAsia="Times New Roman" w:hAnsi="Times New Roman"/>
          <w:sz w:val="20"/>
          <w:szCs w:val="20"/>
          <w:color w:val="auto"/>
        </w:rPr>
      </w:pPr>
    </w:p>
    <w:p>
      <w:pPr>
        <w:jc w:val="both"/>
        <w:ind w:left="-20" w:firstLine="840"/>
        <w:spacing w:after="0" w:line="263" w:lineRule="auto"/>
        <w:tabs>
          <w:tab w:leader="none" w:pos="1608"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66" w:lineRule="exact"/>
        <w:rPr>
          <w:rFonts w:ascii="Times New Roman" w:cs="Times New Roman" w:eastAsia="Times New Roman" w:hAnsi="Times New Roman"/>
          <w:sz w:val="19"/>
          <w:szCs w:val="19"/>
          <w:color w:val="auto"/>
        </w:rPr>
      </w:pPr>
    </w:p>
    <w:p>
      <w:pPr>
        <w:ind w:left="-20" w:firstLine="840"/>
        <w:spacing w:after="0" w:line="269" w:lineRule="auto"/>
        <w:tabs>
          <w:tab w:leader="none" w:pos="160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not be liable in any respect on account of the identity, authority or rights of the parties executing or delivering or purporting to execute or deliver the Award Notice or any documents or papers deposited or called for hereunder.</w:t>
      </w:r>
    </w:p>
    <w:p>
      <w:pPr>
        <w:spacing w:after="0" w:line="159" w:lineRule="exact"/>
        <w:rPr>
          <w:rFonts w:ascii="Times New Roman" w:cs="Times New Roman" w:eastAsia="Times New Roman" w:hAnsi="Times New Roman"/>
          <w:sz w:val="20"/>
          <w:szCs w:val="20"/>
          <w:color w:val="auto"/>
        </w:rPr>
      </w:pPr>
    </w:p>
    <w:p>
      <w:pPr>
        <w:ind w:left="-20" w:right="20" w:firstLine="840"/>
        <w:spacing w:after="0" w:line="269" w:lineRule="auto"/>
        <w:tabs>
          <w:tab w:leader="none" w:pos="170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not be liable for the outlawing of any rights under any statute of limitations with respect to these Joint Escrow Instructions or any documents deposited with you.</w:t>
      </w:r>
    </w:p>
    <w:p>
      <w:pPr>
        <w:spacing w:after="0" w:line="159" w:lineRule="exact"/>
        <w:rPr>
          <w:rFonts w:ascii="Times New Roman" w:cs="Times New Roman" w:eastAsia="Times New Roman" w:hAnsi="Times New Roman"/>
          <w:sz w:val="20"/>
          <w:szCs w:val="20"/>
          <w:color w:val="auto"/>
        </w:rPr>
      </w:pPr>
    </w:p>
    <w:p>
      <w:pPr>
        <w:jc w:val="both"/>
        <w:ind w:left="-20" w:firstLine="840"/>
        <w:spacing w:after="0" w:line="254" w:lineRule="auto"/>
        <w:tabs>
          <w:tab w:leader="none" w:pos="17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be entitled to employ such legal counsel, including but not limited to Summit Law Group, PLLC, and other experts as you may deem necessary to advise you in connection with your obligations hereunder, may rely upon the advice of such counsel, and may pay such counsel reasonable compensation therefor.</w:t>
      </w:r>
    </w:p>
    <w:p>
      <w:pPr>
        <w:spacing w:after="0" w:line="174" w:lineRule="exact"/>
        <w:rPr>
          <w:rFonts w:ascii="Times New Roman" w:cs="Times New Roman" w:eastAsia="Times New Roman" w:hAnsi="Times New Roman"/>
          <w:sz w:val="20"/>
          <w:szCs w:val="20"/>
          <w:color w:val="auto"/>
        </w:rPr>
      </w:pPr>
    </w:p>
    <w:p>
      <w:pPr>
        <w:jc w:val="both"/>
        <w:ind w:left="-20" w:firstLine="840"/>
        <w:spacing w:after="0" w:line="249" w:lineRule="auto"/>
        <w:tabs>
          <w:tab w:leader="none" w:pos="170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responsibilities as Escrow Agent hereunder shall terminate if you shall cease to be Secretary of the Company or if you shall resign by written notice to each party. In the event of any such termination, the Company may appoint any officer or assistant officer of the Company as successor Escrow Agent and Recipient hereby confirms the appointment of such successor or successors as his attorneyinfact and agent to the full extent of your appointment.</w:t>
      </w:r>
    </w:p>
    <w:p>
      <w:pPr>
        <w:spacing w:after="0" w:line="179" w:lineRule="exact"/>
        <w:rPr>
          <w:rFonts w:ascii="Times New Roman" w:cs="Times New Roman" w:eastAsia="Times New Roman" w:hAnsi="Times New Roman"/>
          <w:sz w:val="20"/>
          <w:szCs w:val="20"/>
          <w:color w:val="auto"/>
        </w:rPr>
      </w:pPr>
    </w:p>
    <w:p>
      <w:pPr>
        <w:ind w:left="-20" w:firstLine="840"/>
        <w:spacing w:after="0" w:line="269" w:lineRule="auto"/>
        <w:tabs>
          <w:tab w:leader="none" w:pos="170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reasonably require other or further instruments in connection with these Joint Escrow Instructions or obligations in respect hereto, the necessary parties hereto shall join in furnishing such instruments.</w:t>
      </w:r>
    </w:p>
    <w:p>
      <w:pPr>
        <w:spacing w:after="0" w:line="159" w:lineRule="exact"/>
        <w:rPr>
          <w:rFonts w:ascii="Times New Roman" w:cs="Times New Roman" w:eastAsia="Times New Roman" w:hAnsi="Times New Roman"/>
          <w:sz w:val="20"/>
          <w:szCs w:val="20"/>
          <w:color w:val="auto"/>
        </w:rPr>
      </w:pPr>
    </w:p>
    <w:p>
      <w:pPr>
        <w:jc w:val="both"/>
        <w:ind w:left="-20" w:firstLine="840"/>
        <w:spacing w:after="0" w:line="246" w:lineRule="auto"/>
        <w:tabs>
          <w:tab w:leader="none" w:pos="170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and agreed that should any dispute arise with respect to the delivery and/or ownership or right of possession of the securities, you may (but are not obligated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494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312" w:name="page313"/>
    <w:bookmarkEnd w:id="312"/>
    <w:p>
      <w:pPr>
        <w:jc w:val="both"/>
        <w:ind w:firstLine="840"/>
        <w:spacing w:after="0" w:line="249" w:lineRule="auto"/>
        <w:tabs>
          <w:tab w:leader="none" w:pos="1727"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required or permitted hereunder shall be given in writing and shall be deemed effectively given upon personal delivery or upon deposit in any United States Post Box, by registered or certified mail with postage and fees prepaid, addressed to each of the other parties hereunto entitled at the following addresses, or at such other addresses as a party may designate by ten (10) days’ written notice to each of the other parties hereto:</w:t>
      </w:r>
    </w:p>
    <w:p>
      <w:pPr>
        <w:spacing w:after="0" w:line="203" w:lineRule="exact"/>
        <w:rPr>
          <w:sz w:val="20"/>
          <w:szCs w:val="20"/>
          <w:color w:val="auto"/>
        </w:rPr>
      </w:pPr>
    </w:p>
    <w:p>
      <w:pPr>
        <w:ind w:left="880"/>
        <w:spacing w:after="0"/>
        <w:tabs>
          <w:tab w:leader="none" w:pos="4960" w:val="left"/>
        </w:tabs>
        <w:rPr>
          <w:sz w:val="20"/>
          <w:szCs w:val="20"/>
          <w:color w:val="auto"/>
        </w:rPr>
      </w:pPr>
      <w:r>
        <w:rPr>
          <w:rFonts w:ascii="Times New Roman" w:cs="Times New Roman" w:eastAsia="Times New Roman" w:hAnsi="Times New Roman"/>
          <w:sz w:val="20"/>
          <w:szCs w:val="20"/>
          <w:b w:val="1"/>
          <w:bCs w:val="1"/>
          <w:color w:val="auto"/>
        </w:rPr>
        <w:t>COMPANY:</w:t>
      </w:r>
      <w:r>
        <w:rPr>
          <w:sz w:val="20"/>
          <w:szCs w:val="20"/>
          <w:color w:val="auto"/>
        </w:rPr>
        <w:tab/>
      </w:r>
      <w:r>
        <w:rPr>
          <w:rFonts w:ascii="Times New Roman" w:cs="Times New Roman" w:eastAsia="Times New Roman" w:hAnsi="Times New Roman"/>
          <w:sz w:val="20"/>
          <w:szCs w:val="20"/>
          <w:color w:val="auto"/>
        </w:rPr>
        <w:t>M3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342265</wp:posOffset>
            </wp:positionV>
            <wp:extent cx="228917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228917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179705</wp:posOffset>
            </wp:positionV>
            <wp:extent cx="228917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351155</wp:posOffset>
            </wp:positionV>
            <wp:extent cx="228917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228917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187960</wp:posOffset>
            </wp:positionV>
            <wp:extent cx="22891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228917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25400</wp:posOffset>
            </wp:positionV>
            <wp:extent cx="228917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0"/>
        <w:spacing w:after="0"/>
        <w:tabs>
          <w:tab w:leader="none" w:pos="4960" w:val="left"/>
        </w:tabs>
        <w:rPr>
          <w:sz w:val="20"/>
          <w:szCs w:val="20"/>
          <w:color w:val="auto"/>
        </w:rPr>
      </w:pPr>
      <w:r>
        <w:rPr>
          <w:rFonts w:ascii="Times New Roman" w:cs="Times New Roman" w:eastAsia="Times New Roman" w:hAnsi="Times New Roman"/>
          <w:sz w:val="20"/>
          <w:szCs w:val="20"/>
          <w:b w:val="1"/>
          <w:bCs w:val="1"/>
          <w:color w:val="auto"/>
        </w:rPr>
        <w:t>ESCROW AGENT:</w:t>
      </w:r>
      <w:r>
        <w:rPr>
          <w:sz w:val="20"/>
          <w:szCs w:val="20"/>
          <w:color w:val="auto"/>
        </w:rPr>
        <w:tab/>
      </w:r>
      <w:r>
        <w:rPr>
          <w:rFonts w:ascii="Times New Roman" w:cs="Times New Roman" w:eastAsia="Times New Roman" w:hAnsi="Times New Roman"/>
          <w:sz w:val="19"/>
          <w:szCs w:val="19"/>
          <w:color w:val="auto"/>
        </w:rPr>
        <w:t>Secretary, M3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187960</wp:posOffset>
            </wp:positionV>
            <wp:extent cx="22891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228917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25400</wp:posOffset>
            </wp:positionV>
            <wp:extent cx="228917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firstLine="840"/>
        <w:spacing w:after="0" w:line="269" w:lineRule="auto"/>
        <w:tabs>
          <w:tab w:leader="none" w:pos="172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these Joint Escrow Instructions you become a party hereto only for the purpose of said Joint Escrow Instructions; you do not become a party to the Award Notice.</w:t>
      </w:r>
    </w:p>
    <w:p>
      <w:pPr>
        <w:spacing w:after="0" w:line="159" w:lineRule="exact"/>
        <w:rPr>
          <w:rFonts w:ascii="Times New Roman" w:cs="Times New Roman" w:eastAsia="Times New Roman" w:hAnsi="Times New Roman"/>
          <w:sz w:val="20"/>
          <w:szCs w:val="20"/>
          <w:color w:val="auto"/>
        </w:rPr>
      </w:pPr>
    </w:p>
    <w:p>
      <w:pPr>
        <w:jc w:val="both"/>
        <w:ind w:firstLine="840"/>
        <w:spacing w:after="0" w:line="249" w:lineRule="auto"/>
        <w:tabs>
          <w:tab w:leader="none" w:pos="172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instrument shall be binding upon and inure to the benefit of the parties hereto, and their respective successors and permitted assigns. It is understood and agreed that references to “you” or “your” herein refer to the original Escrow Agent and to any and all successor Escrow Agents. It is understood and agreed that the Company may at any time or from time to time assign its rights under the Award Notice and these Joint Escrow Instructions in whole or in part.</w:t>
      </w:r>
    </w:p>
    <w:p>
      <w:pPr>
        <w:spacing w:after="0" w:line="179" w:lineRule="exact"/>
        <w:rPr>
          <w:rFonts w:ascii="Times New Roman" w:cs="Times New Roman" w:eastAsia="Times New Roman" w:hAnsi="Times New Roman"/>
          <w:sz w:val="20"/>
          <w:szCs w:val="20"/>
          <w:color w:val="auto"/>
        </w:rPr>
      </w:pPr>
    </w:p>
    <w:p>
      <w:pPr>
        <w:jc w:val="both"/>
        <w:ind w:right="20" w:firstLine="840"/>
        <w:spacing w:after="0" w:line="254" w:lineRule="auto"/>
        <w:tabs>
          <w:tab w:leader="none" w:pos="172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interpreted and determined in accordance with the laws of the State of Washington, as such laws are applied by Washington courts to contracts made and to be performed entirely in Washington by residents of that state.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3" w:name="page314"/>
    <w:bookmarkEnd w:id="313"/>
    <w:p>
      <w:pPr>
        <w:ind w:left="62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52"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20"/>
          <w:szCs w:val="20"/>
          <w:b w:val="1"/>
          <w:bCs w:val="1"/>
          <w:color w:val="auto"/>
        </w:rPr>
        <w:t>M3 B</w:t>
      </w:r>
      <w:r>
        <w:rPr>
          <w:rFonts w:ascii="Times New Roman" w:cs="Times New Roman" w:eastAsia="Times New Roman" w:hAnsi="Times New Roman"/>
          <w:sz w:val="13"/>
          <w:szCs w:val="13"/>
          <w:b w:val="1"/>
          <w:bCs w:val="1"/>
          <w:color w:val="auto"/>
        </w:rPr>
        <w:t>IOTECHNOLOGY</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ECIPIENT</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SCROW</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GENT</w:t>
      </w:r>
      <w:r>
        <w:rPr>
          <w:rFonts w:ascii="Times New Roman" w:cs="Times New Roman" w:eastAsia="Times New Roman" w:hAnsi="Times New Roman"/>
          <w:sz w:val="20"/>
          <w:szCs w:val="20"/>
          <w:b w:val="1"/>
          <w:bCs w:val="1"/>
          <w:color w:val="auto"/>
        </w:rPr>
        <w:t>:</w:t>
      </w: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4312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603" w:right="1440" w:bottom="1440" w:gutter="0" w:footer="0" w:header="0"/>
        </w:sectPr>
      </w:pPr>
    </w:p>
    <w:bookmarkStart w:id="314" w:name="page315"/>
    <w:bookmarkEnd w:id="31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20"/>
          <w:szCs w:val="20"/>
          <w:b w:val="1"/>
          <w:bCs w:val="1"/>
          <w:color w:val="auto"/>
        </w:rPr>
        <w:t xml:space="preserve"> IV</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2014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019"/>
          </w:cols>
          <w:pgMar w:left="1440" w:top="356" w:right="1440"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10" w:lineRule="exact"/>
        <w:rPr>
          <w:sz w:val="20"/>
          <w:szCs w:val="20"/>
          <w:color w:val="auto"/>
        </w:rPr>
      </w:pPr>
    </w:p>
    <w:p>
      <w:pPr>
        <w:ind w:left="1660" w:hanging="820"/>
        <w:spacing w:after="0"/>
        <w:tabs>
          <w:tab w:leader="none" w:pos="166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purposes of this Plan are:</w:t>
      </w:r>
    </w:p>
    <w:p>
      <w:pPr>
        <w:sectPr>
          <w:pgSz w:w="11900" w:h="16838" w:orient="portrait"/>
          <w:cols w:equalWidth="0" w:num="1">
            <w:col w:w="11240"/>
          </w:cols>
          <w:pgMar w:left="320" w:top="108" w:right="339" w:bottom="1440" w:gutter="0" w:footer="0" w:header="0"/>
        </w:sectPr>
      </w:pP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32"/>
          <w:szCs w:val="32"/>
          <w:color w:val="auto"/>
        </w:rPr>
        <w:t>•</w:t>
      </w:r>
    </w:p>
    <w:p>
      <w:pPr>
        <w:spacing w:after="0" w:line="7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32"/>
          <w:szCs w:val="32"/>
          <w:color w:val="auto"/>
        </w:rPr>
        <w:t>•</w:t>
      </w:r>
    </w:p>
    <w:p>
      <w:pPr>
        <w:spacing w:after="0" w:line="7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32"/>
          <w:szCs w:val="32"/>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000"/>
        <w:spacing w:after="0" w:line="422" w:lineRule="auto"/>
        <w:rPr>
          <w:sz w:val="20"/>
          <w:szCs w:val="20"/>
          <w:color w:val="auto"/>
        </w:rPr>
      </w:pPr>
      <w:r>
        <w:rPr>
          <w:rFonts w:ascii="Times New Roman" w:cs="Times New Roman" w:eastAsia="Times New Roman" w:hAnsi="Times New Roman"/>
          <w:sz w:val="22"/>
          <w:szCs w:val="22"/>
          <w:color w:val="auto"/>
        </w:rPr>
        <w:t>to attract and retain the best available personnel for positions of substantial responsibility, to provide additional incentive to Employees, Directors and Consultants, and to promote the success of the Company’s business.</w:t>
      </w:r>
    </w:p>
    <w:p>
      <w:pPr>
        <w:spacing w:after="0" w:line="2" w:lineRule="exact"/>
        <w:rPr>
          <w:sz w:val="20"/>
          <w:szCs w:val="20"/>
          <w:color w:val="auto"/>
        </w:rPr>
      </w:pPr>
    </w:p>
    <w:p>
      <w:pPr>
        <w:sectPr>
          <w:pgSz w:w="11900" w:h="16838" w:orient="portrait"/>
          <w:cols w:equalWidth="0" w:num="2">
            <w:col w:w="1780" w:space="720"/>
            <w:col w:w="8740"/>
          </w:cols>
          <w:pgMar w:left="320" w:top="108" w:right="339" w:bottom="1440" w:gutter="0" w:footer="0" w:header="0"/>
          <w:type w:val="continuous"/>
        </w:sectPr>
      </w:pPr>
    </w:p>
    <w:p>
      <w:pPr>
        <w:ind w:firstLine="1663"/>
        <w:spacing w:after="0" w:line="258" w:lineRule="auto"/>
        <w:rPr>
          <w:sz w:val="20"/>
          <w:szCs w:val="20"/>
          <w:color w:val="auto"/>
        </w:rPr>
      </w:pPr>
      <w:r>
        <w:rPr>
          <w:rFonts w:ascii="Times New Roman" w:cs="Times New Roman" w:eastAsia="Times New Roman" w:hAnsi="Times New Roman"/>
          <w:sz w:val="22"/>
          <w:szCs w:val="22"/>
          <w:color w:val="auto"/>
        </w:rPr>
        <w:t>The Plan permits the grant of Incentive Stock Options, Nonstatutory Stock Options, Stock Appreciation Rights, Restricted Stock, Restricted Stock Units and Performance Awards.</w:t>
      </w:r>
    </w:p>
    <w:p>
      <w:pPr>
        <w:spacing w:after="0" w:line="158" w:lineRule="exact"/>
        <w:rPr>
          <w:sz w:val="20"/>
          <w:szCs w:val="20"/>
          <w:color w:val="auto"/>
        </w:rPr>
      </w:pPr>
    </w:p>
    <w:p>
      <w:pPr>
        <w:ind w:left="1660" w:hanging="820"/>
        <w:spacing w:after="0"/>
        <w:tabs>
          <w:tab w:leader="none" w:pos="166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06"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58" w:lineRule="exact"/>
        <w:rPr>
          <w:sz w:val="20"/>
          <w:szCs w:val="20"/>
          <w:color w:val="auto"/>
        </w:rPr>
      </w:pPr>
    </w:p>
    <w:p>
      <w:pPr>
        <w:jc w:val="both"/>
        <w:ind w:firstLine="1663"/>
        <w:spacing w:after="0" w:line="238"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7"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or Performance Awards.</w:t>
      </w:r>
    </w:p>
    <w:p>
      <w:pPr>
        <w:spacing w:after="0" w:line="158" w:lineRule="exact"/>
        <w:rPr>
          <w:sz w:val="20"/>
          <w:szCs w:val="20"/>
          <w:color w:val="auto"/>
        </w:rPr>
      </w:pPr>
    </w:p>
    <w:p>
      <w:pPr>
        <w:jc w:val="both"/>
        <w:ind w:firstLine="1663"/>
        <w:spacing w:after="0" w:line="246"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200" w:lineRule="exact"/>
        <w:rPr>
          <w:sz w:val="20"/>
          <w:szCs w:val="20"/>
          <w:color w:val="auto"/>
        </w:rPr>
      </w:pPr>
    </w:p>
    <w:p>
      <w:pPr>
        <w:spacing w:after="0" w:line="226"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06"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06" w:lineRule="exact"/>
        <w:rPr>
          <w:sz w:val="20"/>
          <w:szCs w:val="20"/>
          <w:color w:val="auto"/>
        </w:rPr>
      </w:pPr>
    </w:p>
    <w:p>
      <w:pPr>
        <w:jc w:val="both"/>
        <w:ind w:firstLine="2504"/>
        <w:spacing w:after="0" w:line="235" w:lineRule="auto"/>
        <w:tabs>
          <w:tab w:leader="none" w:pos="338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494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6" w:name="page317"/>
    <w:bookmarkEnd w:id="316"/>
    <w:p>
      <w:pPr>
        <w:jc w:val="both"/>
        <w:spacing w:after="0" w:line="235" w:lineRule="auto"/>
        <w:rPr>
          <w:sz w:val="20"/>
          <w:szCs w:val="20"/>
          <w:color w:val="auto"/>
        </w:rPr>
      </w:pPr>
      <w:r>
        <w:rPr>
          <w:rFonts w:ascii="Times New Roman" w:cs="Times New Roman" w:eastAsia="Times New Roman" w:hAnsi="Times New Roman"/>
          <w:sz w:val="22"/>
          <w:szCs w:val="22"/>
          <w:color w:val="auto"/>
        </w:rPr>
        <w:t>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8" w:lineRule="exact"/>
        <w:rPr>
          <w:sz w:val="20"/>
          <w:szCs w:val="20"/>
          <w:color w:val="auto"/>
        </w:rPr>
      </w:pPr>
    </w:p>
    <w:p>
      <w:pPr>
        <w:jc w:val="both"/>
        <w:ind w:firstLine="2504"/>
        <w:spacing w:after="0" w:line="236" w:lineRule="auto"/>
        <w:tabs>
          <w:tab w:leader="none" w:pos="3395"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1" w:lineRule="exact"/>
        <w:rPr>
          <w:rFonts w:ascii="Times New Roman" w:cs="Times New Roman" w:eastAsia="Times New Roman" w:hAnsi="Times New Roman"/>
          <w:sz w:val="22"/>
          <w:szCs w:val="22"/>
          <w:color w:val="auto"/>
        </w:rPr>
      </w:pPr>
    </w:p>
    <w:p>
      <w:pPr>
        <w:jc w:val="both"/>
        <w:ind w:firstLine="2504"/>
        <w:spacing w:after="0" w:line="245" w:lineRule="auto"/>
        <w:tabs>
          <w:tab w:leader="none" w:pos="3383"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a Substantial Portion of the Company’s Assets</w:t>
      </w:r>
      <w:r>
        <w:rPr>
          <w:rFonts w:ascii="Times New Roman" w:cs="Times New Roman" w:eastAsia="Times New Roman" w:hAnsi="Times New Roman"/>
          <w:sz w:val="21"/>
          <w:szCs w:val="21"/>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28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firstLine="2496"/>
        <w:spacing w:after="0" w:line="244" w:lineRule="auto"/>
        <w:rPr>
          <w:sz w:val="20"/>
          <w:szCs w:val="20"/>
          <w:color w:val="auto"/>
        </w:rPr>
      </w:pPr>
      <w:r>
        <w:rPr>
          <w:rFonts w:ascii="Times New Roman" w:cs="Times New Roman" w:eastAsia="Times New Roman" w:hAnsi="Times New Roman"/>
          <w:sz w:val="22"/>
          <w:szCs w:val="22"/>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2496"/>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7" w:name="page318"/>
    <w:bookmarkEnd w:id="317"/>
    <w:p>
      <w:pPr>
        <w:jc w:val="both"/>
        <w:ind w:firstLine="2496"/>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80"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hereof.</w:t>
      </w:r>
    </w:p>
    <w:p>
      <w:pPr>
        <w:spacing w:after="0" w:line="158"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of the Company.</w:t>
      </w:r>
    </w:p>
    <w:p>
      <w:pPr>
        <w:spacing w:after="0" w:line="206"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Athira Pharma, Inc., a Delaware corporation, or any successor thereto.</w:t>
      </w:r>
    </w:p>
    <w:p>
      <w:pPr>
        <w:spacing w:after="0" w:line="206" w:lineRule="exact"/>
        <w:rPr>
          <w:sz w:val="20"/>
          <w:szCs w:val="20"/>
          <w:color w:val="auto"/>
        </w:rPr>
      </w:pPr>
    </w:p>
    <w:p>
      <w:pPr>
        <w:jc w:val="both"/>
        <w:ind w:firstLine="1663"/>
        <w:spacing w:after="0" w:line="236"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1"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206"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0"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73"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58"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u w:val="single" w:color="auto"/>
          <w:color w:val="auto"/>
        </w:rPr>
        <w:t>Exchange Program</w:t>
      </w:r>
      <w:r>
        <w:rPr>
          <w:rFonts w:ascii="Times New Roman" w:cs="Times New Roman" w:eastAsia="Times New Roman" w:hAnsi="Times New Roman"/>
          <w:sz w:val="22"/>
          <w:szCs w:val="22"/>
          <w:color w:val="auto"/>
        </w:rPr>
        <w:t>” means a program under which (a) outstanding Awards are surrendered or cancelled in exchange for awards of the same type (which may have higher or lower exercise prices and different terms), awards of a different type, and/or cash, (b) Participants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8" w:name="page319"/>
    <w:bookmarkEnd w:id="318"/>
    <w:p>
      <w:pPr>
        <w:jc w:val="both"/>
        <w:spacing w:after="0" w:line="244" w:lineRule="auto"/>
        <w:rPr>
          <w:sz w:val="20"/>
          <w:szCs w:val="20"/>
          <w:color w:val="auto"/>
        </w:rPr>
      </w:pPr>
      <w:r>
        <w:rPr>
          <w:rFonts w:ascii="Times New Roman" w:cs="Times New Roman" w:eastAsia="Times New Roman" w:hAnsi="Times New Roman"/>
          <w:sz w:val="22"/>
          <w:szCs w:val="22"/>
          <w:color w:val="auto"/>
        </w:rPr>
        <w:t>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73"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58" w:lineRule="exact"/>
        <w:rPr>
          <w:sz w:val="20"/>
          <w:szCs w:val="20"/>
          <w:color w:val="auto"/>
        </w:rPr>
      </w:pPr>
    </w:p>
    <w:p>
      <w:pPr>
        <w:jc w:val="both"/>
        <w:ind w:firstLine="2504"/>
        <w:spacing w:after="0" w:line="236" w:lineRule="auto"/>
        <w:tabs>
          <w:tab w:leader="none" w:pos="338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rFonts w:ascii="Times New Roman" w:cs="Times New Roman" w:eastAsia="Times New Roman" w:hAnsi="Times New Roman"/>
          <w:sz w:val="22"/>
          <w:szCs w:val="22"/>
          <w:color w:val="auto"/>
        </w:rPr>
      </w:pPr>
    </w:p>
    <w:p>
      <w:pPr>
        <w:jc w:val="both"/>
        <w:ind w:firstLine="2504"/>
        <w:spacing w:after="0" w:line="238" w:lineRule="auto"/>
        <w:tabs>
          <w:tab w:leader="none" w:pos="339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76" w:lineRule="exact"/>
        <w:rPr>
          <w:rFonts w:ascii="Times New Roman" w:cs="Times New Roman" w:eastAsia="Times New Roman" w:hAnsi="Times New Roman"/>
          <w:sz w:val="22"/>
          <w:szCs w:val="22"/>
          <w:color w:val="auto"/>
        </w:rPr>
      </w:pPr>
    </w:p>
    <w:p>
      <w:pPr>
        <w:jc w:val="both"/>
        <w:ind w:firstLine="2504"/>
        <w:spacing w:after="0" w:line="244" w:lineRule="auto"/>
        <w:tabs>
          <w:tab w:leader="none" w:pos="338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173" w:lineRule="exact"/>
        <w:rPr>
          <w:rFonts w:ascii="Times New Roman" w:cs="Times New Roman" w:eastAsia="Times New Roman" w:hAnsi="Times New Roman"/>
          <w:sz w:val="22"/>
          <w:szCs w:val="22"/>
          <w:color w:val="auto"/>
        </w:rPr>
      </w:pPr>
    </w:p>
    <w:p>
      <w:pPr>
        <w:ind w:right="20" w:firstLine="2504"/>
        <w:spacing w:after="0" w:line="258" w:lineRule="auto"/>
        <w:tabs>
          <w:tab w:leader="none" w:pos="339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the fiscal year of the Company.</w:t>
      </w:r>
    </w:p>
    <w:p>
      <w:pPr>
        <w:spacing w:after="0" w:line="206" w:lineRule="exact"/>
        <w:rPr>
          <w:sz w:val="20"/>
          <w:szCs w:val="20"/>
          <w:color w:val="auto"/>
        </w:rPr>
      </w:pPr>
    </w:p>
    <w:p>
      <w:pPr>
        <w:ind w:firstLine="1663"/>
        <w:spacing w:after="0" w:line="258"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 and the regulations promulgated thereunder.</w:t>
      </w:r>
    </w:p>
    <w:p>
      <w:pPr>
        <w:spacing w:after="0" w:line="158"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Inside Director</w:t>
      </w:r>
      <w:r>
        <w:rPr>
          <w:rFonts w:ascii="Times New Roman" w:cs="Times New Roman" w:eastAsia="Times New Roman" w:hAnsi="Times New Roman"/>
          <w:sz w:val="21"/>
          <w:szCs w:val="21"/>
          <w:color w:val="auto"/>
        </w:rPr>
        <w:t>” means a Director who is an Employee.</w:t>
      </w:r>
    </w:p>
    <w:p>
      <w:pPr>
        <w:spacing w:after="0" w:line="206" w:lineRule="exact"/>
        <w:rPr>
          <w:sz w:val="20"/>
          <w:szCs w:val="20"/>
          <w:color w:val="auto"/>
        </w:rPr>
      </w:pPr>
    </w:p>
    <w:p>
      <w:pPr>
        <w:ind w:firstLine="1663"/>
        <w:spacing w:after="0" w:line="258"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u w:val="single" w:color="auto"/>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58" w:lineRule="exact"/>
        <w:rPr>
          <w:sz w:val="20"/>
          <w:szCs w:val="20"/>
          <w:color w:val="auto"/>
        </w:rPr>
      </w:pPr>
    </w:p>
    <w:p>
      <w:pPr>
        <w:ind w:firstLine="1663"/>
        <w:spacing w:after="0" w:line="258"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58"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means a stock option granted pursuant to the Plan.</w:t>
      </w:r>
    </w:p>
    <w:p>
      <w:pPr>
        <w:spacing w:after="0" w:line="206"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Outside Director</w:t>
      </w:r>
      <w:r>
        <w:rPr>
          <w:rFonts w:ascii="Times New Roman" w:cs="Times New Roman" w:eastAsia="Times New Roman" w:hAnsi="Times New Roman"/>
          <w:sz w:val="21"/>
          <w:szCs w:val="21"/>
          <w:color w:val="auto"/>
        </w:rPr>
        <w:t>” means a Director who is not an Employee.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9" w:name="page320"/>
    <w:bookmarkEnd w:id="319"/>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Code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424(e).</w:t>
      </w:r>
    </w:p>
    <w:p>
      <w:pPr>
        <w:spacing w:after="0" w:line="182"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the holder of an outstanding Award.</w:t>
      </w:r>
    </w:p>
    <w:p>
      <w:pPr>
        <w:spacing w:after="0" w:line="20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73"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Performance Period as defined in Section 10.1.</w:t>
      </w:r>
    </w:p>
    <w:p>
      <w:pPr>
        <w:spacing w:after="0" w:line="206" w:lineRule="exact"/>
        <w:rPr>
          <w:sz w:val="20"/>
          <w:szCs w:val="20"/>
          <w:color w:val="auto"/>
        </w:rPr>
      </w:pPr>
    </w:p>
    <w:p>
      <w:pPr>
        <w:jc w:val="both"/>
        <w:ind w:right="20" w:firstLine="1663"/>
        <w:spacing w:after="0" w:line="239" w:lineRule="auto"/>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u w:val="single" w:color="auto"/>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0"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2020 Equity Incentive Plan.</w:t>
      </w:r>
    </w:p>
    <w:p>
      <w:pPr>
        <w:spacing w:after="0" w:line="20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u w:val="single" w:color="auto"/>
          <w:color w:val="auto"/>
        </w:rPr>
        <w:t>Registration Date</w:t>
      </w:r>
      <w:r>
        <w:rPr>
          <w:rFonts w:ascii="Times New Roman" w:cs="Times New Roman" w:eastAsia="Times New Roman" w:hAnsi="Times New Roman"/>
          <w:sz w:val="22"/>
          <w:szCs w:val="22"/>
          <w:color w:val="auto"/>
        </w:rPr>
        <w:t>” means the effective date of the first registration statement that is filed by the Company and declared effective pursuant to Section 12(b) of the Exchange Act, with respect to any class of the Company’s securities.</w:t>
      </w:r>
    </w:p>
    <w:p>
      <w:pPr>
        <w:spacing w:after="0" w:line="173"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means Shares issued pursuant to an Award of Restricted Stock under Section 8 of the Plan, or issued pursuant to the early exercise of an Option.</w:t>
      </w:r>
    </w:p>
    <w:p>
      <w:pPr>
        <w:spacing w:after="0" w:line="158"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2.33 “</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Each Restricted Stock Unit represents an unfunded and unsecured obligation of the Company.</w:t>
      </w:r>
    </w:p>
    <w:p>
      <w:pPr>
        <w:spacing w:after="0" w:line="153" w:lineRule="exact"/>
        <w:rPr>
          <w:sz w:val="20"/>
          <w:szCs w:val="20"/>
          <w:color w:val="auto"/>
        </w:rPr>
      </w:pPr>
    </w:p>
    <w:p>
      <w:pPr>
        <w:jc w:val="both"/>
        <w:ind w:right="20" w:firstLine="1663"/>
        <w:spacing w:after="0" w:line="280" w:lineRule="exact"/>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u w:val="single" w:color="auto"/>
          <w:color w:val="auto"/>
        </w:rPr>
        <w:t>Rule 16b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77"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16b</w:t>
      </w:r>
      <w:r>
        <w:rPr>
          <w:rFonts w:ascii="Times New Roman" w:cs="Times New Roman" w:eastAsia="Times New Roman" w:hAnsi="Times New Roman"/>
          <w:sz w:val="21"/>
          <w:szCs w:val="21"/>
          <w:color w:val="auto"/>
        </w:rPr>
        <w:t>” means Section 16(b) of the Exchange Act.</w:t>
      </w:r>
    </w:p>
    <w:p>
      <w:pPr>
        <w:spacing w:after="0" w:line="206"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58"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58"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means an Employee, Director or Consultant.</w:t>
      </w:r>
    </w:p>
    <w:p>
      <w:pPr>
        <w:spacing w:after="0" w:line="206"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2.39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the Common Stock, as adjusted in accordance with Section 15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0" w:name="page321"/>
    <w:bookmarkEnd w:id="320"/>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7 is designated as a Stock Appreciation Right.</w:t>
      </w:r>
    </w:p>
    <w:p>
      <w:pPr>
        <w:spacing w:after="0" w:line="158"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whether now or hereafter existing, as defined in Code Section 424(f).</w:t>
      </w:r>
    </w:p>
    <w:p>
      <w:pPr>
        <w:spacing w:after="0" w:line="158" w:lineRule="exact"/>
        <w:rPr>
          <w:sz w:val="20"/>
          <w:szCs w:val="20"/>
          <w:color w:val="auto"/>
        </w:rPr>
      </w:pPr>
    </w:p>
    <w:p>
      <w:pPr>
        <w:jc w:val="both"/>
        <w:ind w:right="20" w:firstLine="1663"/>
        <w:spacing w:after="0" w:line="244" w:lineRule="auto"/>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73"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2.43 “</w:t>
      </w:r>
      <w:r>
        <w:rPr>
          <w:rFonts w:ascii="Times New Roman" w:cs="Times New Roman" w:eastAsia="Times New Roman" w:hAnsi="Times New Roman"/>
          <w:sz w:val="22"/>
          <w:szCs w:val="22"/>
          <w:u w:val="single" w:color="auto"/>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ind w:left="1660" w:hanging="820"/>
        <w:spacing w:after="0"/>
        <w:tabs>
          <w:tab w:leader="none" w:pos="166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3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 Subject to adjustment upon changes in capitalization of the Company as provided in Section 15 and the automatic increase set forth in Section 3.2, the maximum aggregate number of Shares that may be subject to Awards and sold under the Plan will be equal to (a) 4,733,500 Shares plus (b) any Shares subject to awards granted under the Company’s 2014 Equity Incentive Plan (the “</w:t>
      </w:r>
      <w:r>
        <w:rPr>
          <w:rFonts w:ascii="Times New Roman" w:cs="Times New Roman" w:eastAsia="Times New Roman" w:hAnsi="Times New Roman"/>
          <w:sz w:val="22"/>
          <w:szCs w:val="22"/>
          <w:u w:val="single" w:color="auto"/>
          <w:color w:val="auto"/>
        </w:rPr>
        <w:t>2014 Plan</w:t>
      </w:r>
      <w:r>
        <w:rPr>
          <w:rFonts w:ascii="Times New Roman" w:cs="Times New Roman" w:eastAsia="Times New Roman" w:hAnsi="Times New Roman"/>
          <w:sz w:val="22"/>
          <w:szCs w:val="22"/>
          <w:color w:val="auto"/>
        </w:rPr>
        <w:t>”) that, after the date the 2014 Plan is terminated, are cancelled, expire or otherwise terminate without having been exercised in full and Shares issued pursuant to awards granted under the 2014 Plan that are forfeited to or repurchased by the Company, with the maximum number of Shares to be added to the Plan pursuant to clause (b) equal to 1,950,834 Shares. In addition, Shares may become available for issuance under Sections 3.2 and 3.2. The Shares may be authorized but unissued, or reacquired Common Stock.</w:t>
      </w:r>
    </w:p>
    <w:p>
      <w:pPr>
        <w:spacing w:after="0" w:line="178" w:lineRule="exact"/>
        <w:rPr>
          <w:sz w:val="20"/>
          <w:szCs w:val="20"/>
          <w:color w:val="auto"/>
        </w:rPr>
      </w:pPr>
    </w:p>
    <w:p>
      <w:pPr>
        <w:jc w:val="both"/>
        <w:ind w:firstLine="1663"/>
        <w:spacing w:after="0" w:line="23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Automatic Share Reserve Increase</w:t>
      </w:r>
      <w:r>
        <w:rPr>
          <w:rFonts w:ascii="Times New Roman" w:cs="Times New Roman" w:eastAsia="Times New Roman" w:hAnsi="Times New Roman"/>
          <w:sz w:val="22"/>
          <w:szCs w:val="22"/>
          <w:color w:val="auto"/>
        </w:rPr>
        <w:t>. Subject to adjustment upon changes in capitalization of the Company as provided in Section 15, the number of Shares available for issuance under the Plan will be increased on the first day of each Fiscal Year beginning with the 2021 Fiscal Year, in an amount equal to the least of (a) 3,230,000 Shares, (b) five percent (5%) of the outstanding Shares on the last day of the immediately preceding Fiscal Year, or (c) such number of Shares determined by the Board no later than the last day of the immediately preceding Fiscal Year.</w:t>
      </w:r>
    </w:p>
    <w:p>
      <w:pPr>
        <w:spacing w:after="0" w:line="177" w:lineRule="exact"/>
        <w:rPr>
          <w:sz w:val="20"/>
          <w:szCs w:val="20"/>
          <w:color w:val="auto"/>
        </w:rPr>
      </w:pPr>
    </w:p>
    <w:p>
      <w:pPr>
        <w:jc w:val="both"/>
        <w:ind w:firstLine="1663"/>
        <w:spacing w:after="0" w:line="235"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Lapsed Awards</w:t>
      </w:r>
      <w:r>
        <w:rPr>
          <w:rFonts w:ascii="Times New Roman" w:cs="Times New Roman" w:eastAsia="Times New Roman" w:hAnsi="Times New Roman"/>
          <w:sz w:val="22"/>
          <w:szCs w:val="22"/>
          <w:color w:val="auto"/>
        </w:rPr>
        <w:t xml:space="preserve"> .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1" w:name="page322"/>
    <w:bookmarkEnd w:id="321"/>
    <w:p>
      <w:pPr>
        <w:jc w:val="both"/>
        <w:spacing w:after="0" w:line="234" w:lineRule="auto"/>
        <w:rPr>
          <w:sz w:val="20"/>
          <w:szCs w:val="20"/>
          <w:color w:val="auto"/>
        </w:rPr>
      </w:pPr>
      <w:r>
        <w:rPr>
          <w:rFonts w:ascii="Times New Roman" w:cs="Times New Roman" w:eastAsia="Times New Roman" w:hAnsi="Times New Roman"/>
          <w:sz w:val="22"/>
          <w:szCs w:val="22"/>
          <w:color w:val="auto"/>
        </w:rPr>
        <w:t>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79"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Share Reserve</w:t>
      </w:r>
      <w:r>
        <w:rPr>
          <w:rFonts w:ascii="Times New Roman" w:cs="Times New Roman" w:eastAsia="Times New Roman" w:hAnsi="Times New Roman"/>
          <w:sz w:val="22"/>
          <w:szCs w:val="22"/>
          <w:color w:val="auto"/>
        </w:rPr>
        <w:t>. The Company, during the term of this Plan, will at all times reserve and keep available such number of Shares as will be sufficient to satisfy the requirements of the Plan.</w:t>
      </w:r>
    </w:p>
    <w:p>
      <w:pPr>
        <w:spacing w:after="0" w:line="158" w:lineRule="exact"/>
        <w:rPr>
          <w:sz w:val="20"/>
          <w:szCs w:val="20"/>
          <w:color w:val="auto"/>
        </w:rPr>
      </w:pPr>
    </w:p>
    <w:p>
      <w:pPr>
        <w:ind w:left="1660" w:hanging="820"/>
        <w:spacing w:after="0"/>
        <w:tabs>
          <w:tab w:leader="none" w:pos="16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496"/>
        <w:spacing w:after="0" w:line="258"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58" w:lineRule="exact"/>
        <w:rPr>
          <w:sz w:val="20"/>
          <w:szCs w:val="20"/>
          <w:color w:val="auto"/>
        </w:rPr>
      </w:pPr>
    </w:p>
    <w:p>
      <w:pPr>
        <w:jc w:val="both"/>
        <w:ind w:right="20" w:firstLine="2496"/>
        <w:spacing w:after="0" w:line="246"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200" w:lineRule="exact"/>
        <w:rPr>
          <w:sz w:val="20"/>
          <w:szCs w:val="20"/>
          <w:color w:val="auto"/>
        </w:rPr>
      </w:pPr>
    </w:p>
    <w:p>
      <w:pPr>
        <w:spacing w:after="0" w:line="22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4.1.3</w:t>
      </w:r>
      <w:r>
        <w:rPr>
          <w:sz w:val="20"/>
          <w:szCs w:val="20"/>
          <w:color w:val="auto"/>
        </w:rPr>
        <w:tab/>
      </w:r>
      <w:r>
        <w:rPr>
          <w:rFonts w:ascii="Times New Roman" w:cs="Times New Roman" w:eastAsia="Times New Roman" w:hAnsi="Times New Roman"/>
          <w:sz w:val="22"/>
          <w:szCs w:val="22"/>
          <w:u w:val="single" w:color="auto"/>
          <w:color w:val="auto"/>
        </w:rPr>
        <w:t>Other Administration</w:t>
      </w:r>
      <w:r>
        <w:rPr>
          <w:rFonts w:ascii="Times New Roman" w:cs="Times New Roman" w:eastAsia="Times New Roman" w:hAnsi="Times New Roman"/>
          <w:sz w:val="22"/>
          <w:szCs w:val="22"/>
          <w:color w:val="auto"/>
        </w:rPr>
        <w:t>. Other than as provided above, the Plan will be administered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the Board or (B) a Committee, which Committee will be constituted to comply with Applicable Laws.</w:t>
      </w:r>
    </w:p>
    <w:p>
      <w:pPr>
        <w:spacing w:after="0" w:line="182"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 specific duties delegated by the Board to such Committee, the Administrator will have the authority, in its discretion:</w:t>
      </w:r>
    </w:p>
    <w:p>
      <w:pPr>
        <w:spacing w:after="0" w:line="173" w:lineRule="exact"/>
        <w:rPr>
          <w:sz w:val="20"/>
          <w:szCs w:val="20"/>
          <w:color w:val="auto"/>
        </w:rPr>
      </w:pPr>
    </w:p>
    <w:p>
      <w:pPr>
        <w:ind w:left="3400" w:hanging="896"/>
        <w:spacing w:after="0"/>
        <w:tabs>
          <w:tab w:leader="none" w:pos="34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06" w:lineRule="exact"/>
        <w:rPr>
          <w:rFonts w:ascii="Times New Roman" w:cs="Times New Roman" w:eastAsia="Times New Roman" w:hAnsi="Times New Roman"/>
          <w:sz w:val="22"/>
          <w:szCs w:val="22"/>
          <w:color w:val="auto"/>
        </w:rPr>
      </w:pPr>
    </w:p>
    <w:p>
      <w:pPr>
        <w:ind w:left="3400" w:hanging="896"/>
        <w:spacing w:after="0"/>
        <w:tabs>
          <w:tab w:leader="none" w:pos="34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Service Providers to whom Awards may be granted hereunder;</w:t>
      </w:r>
    </w:p>
    <w:p>
      <w:pPr>
        <w:spacing w:after="0" w:line="206" w:lineRule="exact"/>
        <w:rPr>
          <w:rFonts w:ascii="Times New Roman" w:cs="Times New Roman" w:eastAsia="Times New Roman" w:hAnsi="Times New Roman"/>
          <w:sz w:val="22"/>
          <w:szCs w:val="22"/>
          <w:color w:val="auto"/>
        </w:rPr>
      </w:pPr>
    </w:p>
    <w:p>
      <w:pPr>
        <w:ind w:left="3400" w:hanging="896"/>
        <w:spacing w:after="0"/>
        <w:tabs>
          <w:tab w:leader="none" w:pos="34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to be covered by each Award granted hereunder;</w:t>
      </w:r>
    </w:p>
    <w:p>
      <w:pPr>
        <w:spacing w:after="0" w:line="206" w:lineRule="exact"/>
        <w:rPr>
          <w:rFonts w:ascii="Times New Roman" w:cs="Times New Roman" w:eastAsia="Times New Roman" w:hAnsi="Times New Roman"/>
          <w:sz w:val="22"/>
          <w:szCs w:val="22"/>
          <w:color w:val="auto"/>
        </w:rPr>
      </w:pPr>
    </w:p>
    <w:p>
      <w:pPr>
        <w:ind w:left="3400" w:hanging="896"/>
        <w:spacing w:after="0"/>
        <w:tabs>
          <w:tab w:leader="none" w:pos="34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0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2" w:name="page323"/>
    <w:bookmarkEnd w:id="322"/>
    <w:p>
      <w:pPr>
        <w:jc w:val="both"/>
        <w:ind w:firstLine="2504"/>
        <w:spacing w:after="0" w:line="235" w:lineRule="auto"/>
        <w:tabs>
          <w:tab w:leader="none" w:pos="338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78" w:lineRule="exact"/>
        <w:rPr>
          <w:rFonts w:ascii="Times New Roman" w:cs="Times New Roman" w:eastAsia="Times New Roman" w:hAnsi="Times New Roman"/>
          <w:sz w:val="22"/>
          <w:szCs w:val="22"/>
          <w:color w:val="auto"/>
        </w:rPr>
      </w:pPr>
    </w:p>
    <w:p>
      <w:pPr>
        <w:ind w:firstLine="2504"/>
        <w:spacing w:after="0" w:line="258" w:lineRule="auto"/>
        <w:tabs>
          <w:tab w:leader="none" w:pos="335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institute and determine the terms and conditions of an Exchange Program, including, subject to Section 20.3, to unilaterally implement an Exchange Program without the consent of the applicable Award holder;</w:t>
      </w:r>
    </w:p>
    <w:p>
      <w:pPr>
        <w:spacing w:after="0" w:line="158" w:lineRule="exact"/>
        <w:rPr>
          <w:rFonts w:ascii="Times New Roman" w:cs="Times New Roman" w:eastAsia="Times New Roman" w:hAnsi="Times New Roman"/>
          <w:sz w:val="22"/>
          <w:szCs w:val="22"/>
          <w:color w:val="auto"/>
        </w:rPr>
      </w:pPr>
    </w:p>
    <w:p>
      <w:pPr>
        <w:ind w:left="3400" w:hanging="896"/>
        <w:spacing w:after="0"/>
        <w:tabs>
          <w:tab w:leader="none" w:pos="34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06" w:lineRule="exact"/>
        <w:rPr>
          <w:rFonts w:ascii="Times New Roman" w:cs="Times New Roman" w:eastAsia="Times New Roman" w:hAnsi="Times New Roman"/>
          <w:sz w:val="22"/>
          <w:szCs w:val="22"/>
          <w:color w:val="auto"/>
        </w:rPr>
      </w:pPr>
    </w:p>
    <w:p>
      <w:pPr>
        <w:jc w:val="both"/>
        <w:ind w:firstLine="2504"/>
        <w:spacing w:after="0" w:line="272" w:lineRule="exact"/>
        <w:tabs>
          <w:tab w:leader="none" w:pos="339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w:t>
      </w:r>
    </w:p>
    <w:p>
      <w:pPr>
        <w:spacing w:after="0" w:line="156" w:lineRule="exact"/>
        <w:rPr>
          <w:rFonts w:ascii="Times New Roman" w:cs="Times New Roman" w:eastAsia="Times New Roman" w:hAnsi="Times New Roman"/>
          <w:sz w:val="22"/>
          <w:szCs w:val="22"/>
          <w:color w:val="auto"/>
        </w:rPr>
      </w:pPr>
    </w:p>
    <w:p>
      <w:pPr>
        <w:jc w:val="both"/>
        <w:ind w:firstLine="2504"/>
        <w:spacing w:after="0" w:line="244" w:lineRule="auto"/>
        <w:tabs>
          <w:tab w:leader="none" w:pos="334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73" w:lineRule="exact"/>
        <w:rPr>
          <w:rFonts w:ascii="Times New Roman" w:cs="Times New Roman" w:eastAsia="Times New Roman" w:hAnsi="Times New Roman"/>
          <w:sz w:val="22"/>
          <w:szCs w:val="22"/>
          <w:color w:val="auto"/>
        </w:rPr>
      </w:pPr>
    </w:p>
    <w:p>
      <w:pPr>
        <w:ind w:left="3360" w:hanging="856"/>
        <w:spacing w:after="0"/>
        <w:tabs>
          <w:tab w:leader="none" w:pos="33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tax obligations in a manner prescribed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w:t>
      </w:r>
    </w:p>
    <w:p>
      <w:pPr>
        <w:spacing w:after="0" w:line="182" w:lineRule="exact"/>
        <w:rPr>
          <w:rFonts w:ascii="Times New Roman" w:cs="Times New Roman" w:eastAsia="Times New Roman" w:hAnsi="Times New Roman"/>
          <w:sz w:val="22"/>
          <w:szCs w:val="22"/>
          <w:color w:val="auto"/>
        </w:rPr>
      </w:pPr>
    </w:p>
    <w:p>
      <w:pPr>
        <w:ind w:firstLine="2504"/>
        <w:spacing w:after="0" w:line="258" w:lineRule="auto"/>
        <w:tabs>
          <w:tab w:leader="none" w:pos="339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8" w:lineRule="exact"/>
        <w:rPr>
          <w:rFonts w:ascii="Times New Roman" w:cs="Times New Roman" w:eastAsia="Times New Roman" w:hAnsi="Times New Roman"/>
          <w:sz w:val="22"/>
          <w:szCs w:val="22"/>
          <w:color w:val="auto"/>
        </w:rPr>
      </w:pPr>
    </w:p>
    <w:p>
      <w:pPr>
        <w:ind w:firstLine="2504"/>
        <w:spacing w:after="0" w:line="258" w:lineRule="auto"/>
        <w:tabs>
          <w:tab w:leader="none" w:pos="334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a Participant to defer the receipt of the payment of cash or the delivery of Shares that otherwise would be due to such Participant under an Award; and</w:t>
      </w:r>
    </w:p>
    <w:p>
      <w:pPr>
        <w:spacing w:after="0" w:line="158" w:lineRule="exact"/>
        <w:rPr>
          <w:rFonts w:ascii="Times New Roman" w:cs="Times New Roman" w:eastAsia="Times New Roman" w:hAnsi="Times New Roman"/>
          <w:sz w:val="22"/>
          <w:szCs w:val="22"/>
          <w:color w:val="auto"/>
        </w:rPr>
      </w:pPr>
    </w:p>
    <w:p>
      <w:pPr>
        <w:ind w:left="3460" w:hanging="956"/>
        <w:spacing w:after="0"/>
        <w:tabs>
          <w:tab w:leader="none" w:pos="34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73" w:lineRule="exact"/>
        <w:rPr>
          <w:sz w:val="20"/>
          <w:szCs w:val="20"/>
          <w:color w:val="auto"/>
        </w:rPr>
      </w:pPr>
    </w:p>
    <w:p>
      <w:pPr>
        <w:jc w:val="both"/>
        <w:ind w:firstLine="840"/>
        <w:spacing w:after="0" w:line="244" w:lineRule="auto"/>
        <w:tabs>
          <w:tab w:leader="none" w:pos="1642"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7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3" w:name="page324"/>
    <w:bookmarkEnd w:id="323"/>
    <w:p>
      <w:pPr>
        <w:ind w:left="1660" w:hanging="820"/>
        <w:spacing w:after="0"/>
        <w:tabs>
          <w:tab w:leader="none" w:pos="16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Grant of Options</w:t>
      </w:r>
      <w:r>
        <w:rPr>
          <w:rFonts w:ascii="Times New Roman" w:cs="Times New Roman" w:eastAsia="Times New Roman" w:hAnsi="Times New Roman"/>
          <w:sz w:val="22"/>
          <w:szCs w:val="22"/>
          <w:color w:val="auto"/>
        </w:rPr>
        <w:t>. Subject to the terms and provisions of the Plan, the Administrator, at any time and from time to time, may grant Options to Service Providers in such amounts as the Administrator, in its sole discretion, will determine.</w:t>
      </w:r>
    </w:p>
    <w:p>
      <w:pPr>
        <w:spacing w:after="0" w:line="173"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3" w:lineRule="exact"/>
        <w:rPr>
          <w:sz w:val="20"/>
          <w:szCs w:val="20"/>
          <w:color w:val="auto"/>
        </w:rPr>
      </w:pPr>
    </w:p>
    <w:p>
      <w:pPr>
        <w:jc w:val="both"/>
        <w:ind w:firstLine="1663"/>
        <w:spacing w:after="0" w:line="235"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78" w:lineRule="exact"/>
        <w:rPr>
          <w:sz w:val="20"/>
          <w:szCs w:val="20"/>
          <w:color w:val="auto"/>
        </w:rPr>
      </w:pPr>
    </w:p>
    <w:p>
      <w:pPr>
        <w:jc w:val="both"/>
        <w:ind w:firstLine="1663"/>
        <w:spacing w:after="0" w:line="236"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1"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Option Exercise Price and Consideration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496"/>
        <w:spacing w:after="0" w:line="235" w:lineRule="auto"/>
        <w:rPr>
          <w:sz w:val="20"/>
          <w:szCs w:val="20"/>
          <w:color w:val="auto"/>
        </w:rPr>
      </w:pPr>
      <w:r>
        <w:rPr>
          <w:rFonts w:ascii="Times New Roman" w:cs="Times New Roman" w:eastAsia="Times New Roman" w:hAnsi="Times New Roman"/>
          <w:sz w:val="22"/>
          <w:szCs w:val="22"/>
          <w:color w:val="auto"/>
        </w:rPr>
        <w:t xml:space="preserve">6.5.1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78" w:lineRule="exact"/>
        <w:rPr>
          <w:sz w:val="20"/>
          <w:szCs w:val="20"/>
          <w:color w:val="auto"/>
        </w:rPr>
      </w:pPr>
    </w:p>
    <w:p>
      <w:pPr>
        <w:jc w:val="both"/>
        <w:ind w:firstLine="2496"/>
        <w:spacing w:after="0" w:line="244" w:lineRule="auto"/>
        <w:rPr>
          <w:sz w:val="20"/>
          <w:szCs w:val="20"/>
          <w:color w:val="auto"/>
        </w:rPr>
      </w:pPr>
      <w:r>
        <w:rPr>
          <w:rFonts w:ascii="Times New Roman" w:cs="Times New Roman" w:eastAsia="Times New Roman" w:hAnsi="Times New Roman"/>
          <w:sz w:val="22"/>
          <w:szCs w:val="22"/>
          <w:color w:val="auto"/>
        </w:rPr>
        <w:t xml:space="preserve">6.5.2 </w:t>
      </w:r>
      <w:r>
        <w:rPr>
          <w:rFonts w:ascii="Times New Roman" w:cs="Times New Roman" w:eastAsia="Times New Roman" w:hAnsi="Times New Roman"/>
          <w:sz w:val="22"/>
          <w:szCs w:val="22"/>
          <w:u w:val="single" w:color="auto"/>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4" w:name="page325"/>
    <w:bookmarkEnd w:id="324"/>
    <w:p>
      <w:pPr>
        <w:jc w:val="both"/>
        <w:ind w:firstLine="2496"/>
        <w:spacing w:after="0" w:line="233" w:lineRule="auto"/>
        <w:rPr>
          <w:sz w:val="20"/>
          <w:szCs w:val="20"/>
          <w:color w:val="auto"/>
        </w:rPr>
      </w:pPr>
      <w:r>
        <w:rPr>
          <w:rFonts w:ascii="Times New Roman" w:cs="Times New Roman" w:eastAsia="Times New Roman" w:hAnsi="Times New Roman"/>
          <w:sz w:val="22"/>
          <w:szCs w:val="22"/>
          <w:color w:val="auto"/>
        </w:rPr>
        <w:t xml:space="preserve">6.5.3 </w:t>
      </w:r>
      <w:r>
        <w:rPr>
          <w:rFonts w:ascii="Times New Roman" w:cs="Times New Roman" w:eastAsia="Times New Roman" w:hAnsi="Times New Roman"/>
          <w:sz w:val="22"/>
          <w:szCs w:val="22"/>
          <w:u w:val="single" w:color="auto"/>
          <w:color w:val="auto"/>
        </w:rPr>
        <w:t>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5"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496"/>
        <w:spacing w:after="0" w:line="244" w:lineRule="auto"/>
        <w:rPr>
          <w:sz w:val="20"/>
          <w:szCs w:val="20"/>
          <w:color w:val="auto"/>
        </w:rPr>
      </w:pPr>
      <w:r>
        <w:rPr>
          <w:rFonts w:ascii="Times New Roman" w:cs="Times New Roman" w:eastAsia="Times New Roman" w:hAnsi="Times New Roman"/>
          <w:sz w:val="22"/>
          <w:szCs w:val="22"/>
          <w:color w:val="auto"/>
        </w:rPr>
        <w:t xml:space="preserve">6.6.1 </w:t>
      </w:r>
      <w:r>
        <w:rPr>
          <w:rFonts w:ascii="Times New Roman" w:cs="Times New Roman" w:eastAsia="Times New Roman" w:hAnsi="Times New Roman"/>
          <w:sz w:val="22"/>
          <w:szCs w:val="22"/>
          <w:u w:val="single" w:color="auto"/>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3" w:lineRule="exact"/>
        <w:rPr>
          <w:sz w:val="20"/>
          <w:szCs w:val="20"/>
          <w:color w:val="auto"/>
        </w:rPr>
      </w:pPr>
    </w:p>
    <w:p>
      <w:pPr>
        <w:jc w:val="both"/>
        <w:ind w:firstLine="2496"/>
        <w:spacing w:after="0" w:line="233" w:lineRule="auto"/>
        <w:rPr>
          <w:sz w:val="20"/>
          <w:szCs w:val="20"/>
          <w:color w:val="auto"/>
        </w:rPr>
      </w:pPr>
      <w:r>
        <w:rPr>
          <w:rFonts w:ascii="Times New Roman" w:cs="Times New Roman" w:eastAsia="Times New Roman" w:hAnsi="Times New Roman"/>
          <w:sz w:val="22"/>
          <w:szCs w:val="22"/>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16 of the Plan.</w:t>
      </w:r>
    </w:p>
    <w:p>
      <w:pPr>
        <w:spacing w:after="0" w:line="187" w:lineRule="exact"/>
        <w:rPr>
          <w:sz w:val="20"/>
          <w:szCs w:val="20"/>
          <w:color w:val="auto"/>
        </w:rPr>
      </w:pPr>
    </w:p>
    <w:p>
      <w:pPr>
        <w:jc w:val="both"/>
        <w:ind w:firstLine="2496"/>
        <w:spacing w:after="0" w:line="258"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jc w:val="both"/>
        <w:ind w:firstLine="2496"/>
        <w:spacing w:after="0" w:line="236" w:lineRule="auto"/>
        <w:rPr>
          <w:sz w:val="20"/>
          <w:szCs w:val="20"/>
          <w:color w:val="auto"/>
        </w:rPr>
      </w:pPr>
      <w:r>
        <w:rPr>
          <w:rFonts w:ascii="Times New Roman" w:cs="Times New Roman" w:eastAsia="Times New Roman" w:hAnsi="Times New Roman"/>
          <w:sz w:val="22"/>
          <w:szCs w:val="22"/>
          <w:color w:val="auto"/>
        </w:rPr>
        <w:t xml:space="preserve">6.6.2 </w:t>
      </w:r>
      <w:r>
        <w:rPr>
          <w:rFonts w:ascii="Times New Roman" w:cs="Times New Roman" w:eastAsia="Times New Roman" w:hAnsi="Times New Roman"/>
          <w:sz w:val="22"/>
          <w:szCs w:val="22"/>
          <w:u w:val="single" w:color="auto"/>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5" w:name="page326"/>
    <w:bookmarkEnd w:id="325"/>
    <w:p>
      <w:pPr>
        <w:jc w:val="both"/>
        <w:spacing w:after="0" w:line="244" w:lineRule="auto"/>
        <w:rPr>
          <w:sz w:val="20"/>
          <w:szCs w:val="20"/>
          <w:color w:val="auto"/>
        </w:rPr>
      </w:pPr>
      <w:r>
        <w:rPr>
          <w:rFonts w:ascii="Times New Roman" w:cs="Times New Roman" w:eastAsia="Times New Roman" w:hAnsi="Times New Roman"/>
          <w:sz w:val="22"/>
          <w:szCs w:val="22"/>
          <w:color w:val="auto"/>
        </w:rPr>
        <w:t>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73" w:lineRule="exact"/>
        <w:rPr>
          <w:sz w:val="20"/>
          <w:szCs w:val="20"/>
          <w:color w:val="auto"/>
        </w:rPr>
      </w:pPr>
    </w:p>
    <w:p>
      <w:pPr>
        <w:jc w:val="both"/>
        <w:ind w:firstLine="2496"/>
        <w:spacing w:after="0" w:line="235" w:lineRule="auto"/>
        <w:rPr>
          <w:sz w:val="20"/>
          <w:szCs w:val="20"/>
          <w:color w:val="auto"/>
        </w:rPr>
      </w:pPr>
      <w:r>
        <w:rPr>
          <w:rFonts w:ascii="Times New Roman" w:cs="Times New Roman" w:eastAsia="Times New Roman" w:hAnsi="Times New Roman"/>
          <w:sz w:val="22"/>
          <w:szCs w:val="22"/>
          <w:color w:val="auto"/>
        </w:rPr>
        <w:t xml:space="preserve">6.6.3 </w:t>
      </w:r>
      <w:r>
        <w:rPr>
          <w:rFonts w:ascii="Times New Roman" w:cs="Times New Roman" w:eastAsia="Times New Roman" w:hAnsi="Times New Roman"/>
          <w:sz w:val="22"/>
          <w:szCs w:val="22"/>
          <w:u w:val="single" w:color="auto"/>
          <w:color w:val="auto"/>
        </w:rPr>
        <w:t>Disability of Participant</w:t>
      </w:r>
      <w:r>
        <w:rPr>
          <w:rFonts w:ascii="Times New Roman" w:cs="Times New Roman" w:eastAsia="Times New Roman" w:hAnsi="Times New Roman"/>
          <w:sz w:val="22"/>
          <w:szCs w:val="22"/>
          <w:color w:val="auto"/>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78" w:lineRule="exact"/>
        <w:rPr>
          <w:sz w:val="20"/>
          <w:szCs w:val="20"/>
          <w:color w:val="auto"/>
        </w:rPr>
      </w:pPr>
    </w:p>
    <w:p>
      <w:pPr>
        <w:jc w:val="both"/>
        <w:ind w:firstLine="2496"/>
        <w:spacing w:after="0" w:line="233" w:lineRule="auto"/>
        <w:rPr>
          <w:sz w:val="20"/>
          <w:szCs w:val="20"/>
          <w:color w:val="auto"/>
        </w:rPr>
      </w:pPr>
      <w:r>
        <w:rPr>
          <w:rFonts w:ascii="Times New Roman" w:cs="Times New Roman" w:eastAsia="Times New Roman" w:hAnsi="Times New Roman"/>
          <w:sz w:val="22"/>
          <w:szCs w:val="22"/>
          <w:color w:val="auto"/>
        </w:rPr>
        <w:t xml:space="preserve">6.6.4 </w:t>
      </w: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0"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6.6.5</w:t>
      </w:r>
      <w:r>
        <w:rPr>
          <w:sz w:val="20"/>
          <w:szCs w:val="20"/>
          <w:color w:val="auto"/>
        </w:rPr>
        <w:tab/>
      </w:r>
      <w:r>
        <w:rPr>
          <w:rFonts w:ascii="Times New Roman" w:cs="Times New Roman" w:eastAsia="Times New Roman" w:hAnsi="Times New Roman"/>
          <w:sz w:val="21"/>
          <w:szCs w:val="21"/>
          <w:u w:val="single" w:color="auto"/>
          <w:color w:val="auto"/>
        </w:rPr>
        <w:t>Tolling Expiration</w:t>
      </w:r>
      <w:r>
        <w:rPr>
          <w:rFonts w:ascii="Times New Roman" w:cs="Times New Roman" w:eastAsia="Times New Roman" w:hAnsi="Times New Roman"/>
          <w:sz w:val="21"/>
          <w:szCs w:val="21"/>
          <w:color w:val="auto"/>
        </w:rPr>
        <w:t>. A Participant’s Award Agreement may also provide that:</w:t>
      </w:r>
    </w:p>
    <w:p>
      <w:pPr>
        <w:spacing w:after="0" w:line="206" w:lineRule="exact"/>
        <w:rPr>
          <w:sz w:val="20"/>
          <w:szCs w:val="20"/>
          <w:color w:val="auto"/>
        </w:rPr>
      </w:pPr>
    </w:p>
    <w:p>
      <w:pPr>
        <w:jc w:val="both"/>
        <w:ind w:firstLine="3336"/>
        <w:spacing w:after="0" w:line="239" w:lineRule="auto"/>
        <w:tabs>
          <w:tab w:leader="none" w:pos="421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180" w:lineRule="exact"/>
        <w:rPr>
          <w:rFonts w:ascii="Times New Roman" w:cs="Times New Roman" w:eastAsia="Times New Roman" w:hAnsi="Times New Roman"/>
          <w:sz w:val="22"/>
          <w:szCs w:val="22"/>
          <w:color w:val="auto"/>
        </w:rPr>
      </w:pPr>
    </w:p>
    <w:p>
      <w:pPr>
        <w:jc w:val="both"/>
        <w:ind w:firstLine="3336"/>
        <w:spacing w:after="0" w:line="236" w:lineRule="auto"/>
        <w:tabs>
          <w:tab w:leader="none" w:pos="422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81" w:lineRule="exact"/>
        <w:rPr>
          <w:rFonts w:ascii="Times New Roman" w:cs="Times New Roman" w:eastAsia="Times New Roman" w:hAnsi="Times New Roman"/>
          <w:sz w:val="22"/>
          <w:szCs w:val="22"/>
          <w:color w:val="auto"/>
        </w:rPr>
      </w:pPr>
    </w:p>
    <w:p>
      <w:pPr>
        <w:ind w:left="5520" w:hanging="126"/>
        <w:spacing w:after="0"/>
        <w:tabs>
          <w:tab w:leader="none" w:pos="552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6" w:name="page327"/>
    <w:bookmarkEnd w:id="326"/>
    <w:p>
      <w:pPr>
        <w:ind w:left="1660" w:hanging="820"/>
        <w:spacing w:after="0"/>
        <w:tabs>
          <w:tab w:leader="none" w:pos="166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Grant of Stock Appreciation Rights</w:t>
      </w:r>
      <w:r>
        <w:rPr>
          <w:rFonts w:ascii="Times New Roman" w:cs="Times New Roman" w:eastAsia="Times New Roman" w:hAnsi="Times New Roman"/>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73"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Administrator will have complete discretion to determine the number of Shares subject to any Award of Stock Appreciation Rights.</w:t>
      </w:r>
    </w:p>
    <w:p>
      <w:pPr>
        <w:spacing w:after="0" w:line="158" w:lineRule="exact"/>
        <w:rPr>
          <w:sz w:val="20"/>
          <w:szCs w:val="20"/>
          <w:color w:val="auto"/>
        </w:rPr>
      </w:pPr>
    </w:p>
    <w:p>
      <w:pPr>
        <w:jc w:val="both"/>
        <w:ind w:firstLine="1663"/>
        <w:spacing w:after="0" w:line="23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Exercise Price and Other Terms</w:t>
      </w:r>
      <w:r>
        <w:rPr>
          <w:rFonts w:ascii="Times New Roman" w:cs="Times New Roman" w:eastAsia="Times New Roman" w:hAnsi="Times New Roman"/>
          <w:sz w:val="22"/>
          <w:szCs w:val="22"/>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7"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3"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6.5 relating to exercise also will apply to Stock Appreciation Rights.</w:t>
      </w:r>
    </w:p>
    <w:p>
      <w:pPr>
        <w:spacing w:after="0" w:line="180"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u w:val="single" w:color="auto"/>
          <w:color w:val="auto"/>
        </w:rPr>
        <w:t>Payment of Stock Appreciation Right Amount</w:t>
      </w:r>
      <w:r>
        <w:rPr>
          <w:rFonts w:ascii="Times New Roman" w:cs="Times New Roman" w:eastAsia="Times New Roman" w:hAnsi="Times New Roman"/>
          <w:sz w:val="22"/>
          <w:szCs w:val="22"/>
          <w:color w:val="auto"/>
        </w:rPr>
        <w:t>.  Upon exercise of a Stock Appreciation Right,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will be entitled to receive payment from the Company in an amount determined by multiplying:</w:t>
      </w:r>
    </w:p>
    <w:p>
      <w:pPr>
        <w:spacing w:after="0" w:line="182" w:lineRule="exact"/>
        <w:rPr>
          <w:sz w:val="20"/>
          <w:szCs w:val="20"/>
          <w:color w:val="auto"/>
        </w:rPr>
      </w:pPr>
    </w:p>
    <w:p>
      <w:pPr>
        <w:ind w:left="3400" w:hanging="896"/>
        <w:spacing w:after="0"/>
        <w:tabs>
          <w:tab w:leader="none" w:pos="340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difference between the Fair Market Value of a Share on the date of exercise over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exercise price; times</w:t>
      </w:r>
    </w:p>
    <w:p>
      <w:pPr>
        <w:spacing w:after="0" w:line="182" w:lineRule="exact"/>
        <w:rPr>
          <w:sz w:val="20"/>
          <w:szCs w:val="20"/>
          <w:color w:val="auto"/>
        </w:rPr>
      </w:pPr>
    </w:p>
    <w:p>
      <w:pPr>
        <w:ind w:left="3400" w:hanging="896"/>
        <w:spacing w:after="0"/>
        <w:tabs>
          <w:tab w:leader="none" w:pos="34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with respect to which the Stock Appreciation Right is exercised.</w:t>
      </w:r>
    </w:p>
    <w:p>
      <w:pPr>
        <w:spacing w:after="0" w:line="206" w:lineRule="exact"/>
        <w:rPr>
          <w:sz w:val="20"/>
          <w:szCs w:val="20"/>
          <w:color w:val="auto"/>
        </w:rPr>
      </w:pPr>
    </w:p>
    <w:p>
      <w:pPr>
        <w:ind w:firstLine="2496"/>
        <w:spacing w:after="0" w:line="258" w:lineRule="auto"/>
        <w:rPr>
          <w:sz w:val="20"/>
          <w:szCs w:val="20"/>
          <w:color w:val="auto"/>
        </w:rPr>
      </w:pPr>
      <w:r>
        <w:rPr>
          <w:rFonts w:ascii="Times New Roman" w:cs="Times New Roman" w:eastAsia="Times New Roman" w:hAnsi="Times New Roman"/>
          <w:sz w:val="22"/>
          <w:szCs w:val="22"/>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1660" w:hanging="820"/>
        <w:spacing w:after="0"/>
        <w:tabs>
          <w:tab w:leader="none" w:pos="166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Grant of Restricted Stock</w:t>
      </w:r>
      <w:r>
        <w:rPr>
          <w:rFonts w:ascii="Times New Roman" w:cs="Times New Roman" w:eastAsia="Times New Roman" w:hAnsi="Times New Roman"/>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73"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7" w:name="page328"/>
    <w:bookmarkEnd w:id="327"/>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73"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58"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0" w:lineRule="exact"/>
        <w:rPr>
          <w:sz w:val="20"/>
          <w:szCs w:val="20"/>
          <w:color w:val="auto"/>
        </w:rPr>
      </w:pPr>
    </w:p>
    <w:p>
      <w:pPr>
        <w:jc w:val="both"/>
        <w:ind w:firstLine="1663"/>
        <w:spacing w:after="0" w:line="246"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200" w:lineRule="exact"/>
        <w:rPr>
          <w:sz w:val="20"/>
          <w:szCs w:val="20"/>
          <w:color w:val="auto"/>
        </w:rPr>
      </w:pPr>
    </w:p>
    <w:p>
      <w:pPr>
        <w:spacing w:after="0" w:line="226"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Dividends and Other Distributions</w:t>
      </w:r>
      <w:r>
        <w:rPr>
          <w:rFonts w:ascii="Times New Roman" w:cs="Times New Roman" w:eastAsia="Times New Roman" w:hAnsi="Times New Roman"/>
          <w:sz w:val="22"/>
          <w:szCs w:val="22"/>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Return of Restricted Stock to Company</w:t>
      </w:r>
      <w:r>
        <w:rPr>
          <w:rFonts w:ascii="Times New Roman" w:cs="Times New Roman" w:eastAsia="Times New Roman" w:hAnsi="Times New Roman"/>
          <w:sz w:val="22"/>
          <w:szCs w:val="22"/>
          <w:color w:val="auto"/>
        </w:rPr>
        <w:t>. On the date set forth in the Award Agreement, the Restricted Stock for which restrictions have not lapsed will revert to the Company and again will become available for grant under the Plan.</w:t>
      </w:r>
    </w:p>
    <w:p>
      <w:pPr>
        <w:spacing w:after="0" w:line="173" w:lineRule="exact"/>
        <w:rPr>
          <w:sz w:val="20"/>
          <w:szCs w:val="20"/>
          <w:color w:val="auto"/>
        </w:rPr>
      </w:pPr>
    </w:p>
    <w:p>
      <w:pPr>
        <w:ind w:left="1660" w:hanging="820"/>
        <w:spacing w:after="0"/>
        <w:tabs>
          <w:tab w:leader="none" w:pos="166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57" w:lineRule="exact"/>
        <w:rPr>
          <w:sz w:val="20"/>
          <w:szCs w:val="20"/>
          <w:color w:val="auto"/>
        </w:rPr>
      </w:pPr>
    </w:p>
    <w:p>
      <w:pPr>
        <w:jc w:val="both"/>
        <w:ind w:firstLine="1663"/>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8" w:name="page329"/>
    <w:bookmarkEnd w:id="328"/>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73"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On the date set forth in the Award Agreement, all unearned Restricted Stock Units will be forfeited to the Company.</w:t>
      </w:r>
    </w:p>
    <w:p>
      <w:pPr>
        <w:spacing w:after="0" w:line="158" w:lineRule="exact"/>
        <w:rPr>
          <w:sz w:val="20"/>
          <w:szCs w:val="20"/>
          <w:color w:val="auto"/>
        </w:rPr>
      </w:pPr>
    </w:p>
    <w:p>
      <w:pPr>
        <w:ind w:left="1760" w:hanging="920"/>
        <w:spacing w:after="0"/>
        <w:tabs>
          <w:tab w:leader="none" w:pos="176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80" w:lineRule="exact"/>
        <w:rPr>
          <w:sz w:val="20"/>
          <w:szCs w:val="20"/>
          <w:color w:val="auto"/>
        </w:rPr>
      </w:pPr>
    </w:p>
    <w:p>
      <w:pPr>
        <w:jc w:val="both"/>
        <w:ind w:firstLine="1663"/>
        <w:spacing w:after="0" w:line="238"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Objectives or Vesting Provisions and Other Terms.</w:t>
      </w:r>
      <w:r>
        <w:rPr>
          <w:rFonts w:ascii="Times New Roman" w:cs="Times New Roman" w:eastAsia="Times New Roman" w:hAnsi="Times New Roman"/>
          <w:sz w:val="22"/>
          <w:szCs w:val="22"/>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80"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73"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Cancellation of Performance Awards</w:t>
      </w:r>
      <w:r>
        <w:rPr>
          <w:rFonts w:ascii="Times New Roman" w:cs="Times New Roman" w:eastAsia="Times New Roman" w:hAnsi="Times New Roman"/>
          <w:sz w:val="22"/>
          <w:szCs w:val="22"/>
          <w:color w:val="auto"/>
        </w:rPr>
        <w:t>. On the date set forth in the Award Agreement, all unearned or unvested Performance Awards will be forfeited to the Company, and again will be available for grant under the Plan.</w:t>
      </w:r>
    </w:p>
    <w:p>
      <w:pPr>
        <w:spacing w:after="0" w:line="158" w:lineRule="exact"/>
        <w:rPr>
          <w:sz w:val="20"/>
          <w:szCs w:val="20"/>
          <w:color w:val="auto"/>
        </w:rPr>
      </w:pPr>
    </w:p>
    <w:p>
      <w:pPr>
        <w:jc w:val="both"/>
        <w:ind w:firstLine="840"/>
        <w:spacing w:after="0" w:line="235" w:lineRule="auto"/>
        <w:tabs>
          <w:tab w:leader="none" w:pos="1742"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Outside Director Award Limitations</w:t>
      </w:r>
      <w:r>
        <w:rPr>
          <w:rFonts w:ascii="Times New Roman" w:cs="Times New Roman" w:eastAsia="Times New Roman" w:hAnsi="Times New Roman"/>
          <w:sz w:val="22"/>
          <w:szCs w:val="22"/>
          <w:color w:val="auto"/>
        </w:rPr>
        <w:t>. No Outside Director may be granted, in any Fiscal Year, Awards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11.</w:t>
      </w:r>
    </w:p>
    <w:p>
      <w:pPr>
        <w:spacing w:after="0" w:line="18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9" w:name="page330"/>
    <w:bookmarkEnd w:id="329"/>
    <w:p>
      <w:pPr>
        <w:jc w:val="both"/>
        <w:ind w:left="-8" w:firstLine="840"/>
        <w:spacing w:after="0" w:line="233" w:lineRule="auto"/>
        <w:tabs>
          <w:tab w:leader="none" w:pos="1742"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84" w:lineRule="exact"/>
        <w:rPr>
          <w:rFonts w:ascii="Times New Roman" w:cs="Times New Roman" w:eastAsia="Times New Roman" w:hAnsi="Times New Roman"/>
          <w:sz w:val="22"/>
          <w:szCs w:val="22"/>
          <w:color w:val="auto"/>
        </w:rPr>
      </w:pPr>
    </w:p>
    <w:p>
      <w:pPr>
        <w:jc w:val="both"/>
        <w:ind w:left="-8" w:firstLine="840"/>
        <w:spacing w:after="0" w:line="238" w:lineRule="auto"/>
        <w:tabs>
          <w:tab w:leader="none" w:pos="1742"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Leaves of Absence/Transfer Between Locations</w:t>
      </w:r>
      <w:r>
        <w:rPr>
          <w:rFonts w:ascii="Times New Roman" w:cs="Times New Roman" w:eastAsia="Times New Roman" w:hAnsi="Times New Roman"/>
          <w:sz w:val="22"/>
          <w:szCs w:val="22"/>
          <w:color w:val="auto"/>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w:t>
      </w:r>
    </w:p>
    <w:p>
      <w:pPr>
        <w:jc w:val="both"/>
        <w:ind w:left="-8" w:firstLine="8"/>
        <w:spacing w:after="0" w:line="233" w:lineRule="auto"/>
        <w:tabs>
          <w:tab w:leader="none" w:pos="309"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18"/>
          <w:szCs w:val="18"/>
          <w:color w:val="auto"/>
        </w:rPr>
        <w:t>st</w:t>
      </w:r>
      <w:r>
        <w:rPr>
          <w:rFonts w:ascii="Times New Roman" w:cs="Times New Roman" w:eastAsia="Times New Roman" w:hAnsi="Times New Roman"/>
          <w:sz w:val="22"/>
          <w:szCs w:val="22"/>
          <w:color w:val="auto"/>
        </w:rPr>
        <w:t>) day of such leave, any Incentive Stock Option held by the Participant will cease to be treated as an Incentive Stock Option and will be treated for tax purposes as a Nonstatutory Stock Option.</w:t>
      </w:r>
    </w:p>
    <w:p>
      <w:pPr>
        <w:spacing w:after="0" w:line="179" w:lineRule="exact"/>
        <w:rPr>
          <w:rFonts w:ascii="Times New Roman" w:cs="Times New Roman" w:eastAsia="Times New Roman" w:hAnsi="Times New Roman"/>
          <w:sz w:val="22"/>
          <w:szCs w:val="22"/>
          <w:color w:val="auto"/>
        </w:rPr>
      </w:pPr>
    </w:p>
    <w:p>
      <w:pPr>
        <w:jc w:val="both"/>
        <w:ind w:left="-8" w:firstLine="840"/>
        <w:spacing w:after="0" w:line="236" w:lineRule="auto"/>
        <w:tabs>
          <w:tab w:leader="none" w:pos="1742"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Transferability of Awards</w:t>
      </w:r>
      <w:r>
        <w:rPr>
          <w:rFonts w:ascii="Times New Roman" w:cs="Times New Roman" w:eastAsia="Times New Roman" w:hAnsi="Times New Roman"/>
          <w:sz w:val="22"/>
          <w:szCs w:val="22"/>
          <w:color w:val="auto"/>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81" w:lineRule="exact"/>
        <w:rPr>
          <w:rFonts w:ascii="Times New Roman" w:cs="Times New Roman" w:eastAsia="Times New Roman" w:hAnsi="Times New Roman"/>
          <w:sz w:val="22"/>
          <w:szCs w:val="22"/>
          <w:color w:val="auto"/>
        </w:rPr>
      </w:pPr>
    </w:p>
    <w:p>
      <w:pPr>
        <w:ind w:left="5512" w:hanging="130"/>
        <w:spacing w:after="0"/>
        <w:tabs>
          <w:tab w:leader="none" w:pos="5512" w:val="left"/>
        </w:tabs>
        <w:numPr>
          <w:ilvl w:val="2"/>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4946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44" w:right="339" w:bottom="1440" w:gutter="0" w:footer="0" w:header="0"/>
        </w:sectPr>
      </w:pPr>
    </w:p>
    <w:bookmarkStart w:id="330" w:name="page331"/>
    <w:bookmarkEnd w:id="330"/>
    <w:p>
      <w:pPr>
        <w:ind w:left="1760" w:hanging="920"/>
        <w:spacing w:after="0"/>
        <w:tabs>
          <w:tab w:leader="none" w:pos="176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8"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70"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0" w:lineRule="exact"/>
        <w:rPr>
          <w:sz w:val="20"/>
          <w:szCs w:val="20"/>
          <w:color w:val="auto"/>
        </w:rPr>
      </w:pPr>
    </w:p>
    <w:p>
      <w:pPr>
        <w:jc w:val="both"/>
        <w:ind w:firstLine="1663"/>
        <w:spacing w:after="0" w:line="238"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u w:val="single" w:color="auto"/>
          <w:color w:val="auto"/>
        </w:rPr>
        <w:t>Merger or Change in Control</w:t>
      </w:r>
      <w:r>
        <w:rPr>
          <w:rFonts w:ascii="Times New Roman" w:cs="Times New Roman" w:eastAsia="Times New Roman" w:hAnsi="Times New Roman"/>
          <w:sz w:val="22"/>
          <w:szCs w:val="22"/>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w:t>
      </w:r>
    </w:p>
    <w:p>
      <w:pPr>
        <w:jc w:val="both"/>
        <w:ind w:firstLine="8"/>
        <w:spacing w:after="0" w:line="241" w:lineRule="auto"/>
        <w:tabs>
          <w:tab w:leader="none" w:pos="284"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w:t>
      </w:r>
    </w:p>
    <w:p>
      <w:pPr>
        <w:spacing w:after="0" w:line="3" w:lineRule="exact"/>
        <w:rPr>
          <w:rFonts w:ascii="Times New Roman" w:cs="Times New Roman" w:eastAsia="Times New Roman" w:hAnsi="Times New Roman"/>
          <w:sz w:val="21"/>
          <w:szCs w:val="21"/>
          <w:color w:val="auto"/>
        </w:rPr>
      </w:pPr>
    </w:p>
    <w:p>
      <w:pPr>
        <w:jc w:val="both"/>
        <w:ind w:firstLine="8"/>
        <w:spacing w:after="0" w:line="232" w:lineRule="auto"/>
        <w:tabs>
          <w:tab w:leader="none" w:pos="271"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80" w:lineRule="exact"/>
        <w:rPr>
          <w:sz w:val="20"/>
          <w:szCs w:val="20"/>
          <w:color w:val="auto"/>
        </w:rPr>
      </w:pPr>
    </w:p>
    <w:p>
      <w:pPr>
        <w:jc w:val="both"/>
        <w:ind w:firstLine="1663"/>
        <w:spacing w:after="0" w:line="236"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 (or portions thereof) not assumed or substituted for will lapse, and, with respect to Awards with performance-based vesting (or portions thereof) not assumed or substituted for, all performance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1" w:name="page332"/>
    <w:bookmarkEnd w:id="331"/>
    <w:p>
      <w:pPr>
        <w:jc w:val="both"/>
        <w:spacing w:after="0" w:line="234" w:lineRule="auto"/>
        <w:rPr>
          <w:sz w:val="20"/>
          <w:szCs w:val="20"/>
          <w:color w:val="auto"/>
        </w:rPr>
      </w:pPr>
      <w:r>
        <w:rPr>
          <w:rFonts w:ascii="Times New Roman" w:cs="Times New Roman" w:eastAsia="Times New Roman" w:hAnsi="Times New Roman"/>
          <w:sz w:val="22"/>
          <w:szCs w:val="22"/>
          <w:color w:val="auto"/>
        </w:rPr>
        <w:t>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3" w:lineRule="exact"/>
        <w:rPr>
          <w:sz w:val="20"/>
          <w:szCs w:val="20"/>
          <w:color w:val="auto"/>
        </w:rPr>
      </w:pPr>
    </w:p>
    <w:p>
      <w:pPr>
        <w:jc w:val="both"/>
        <w:ind w:firstLine="1663"/>
        <w:spacing w:after="0" w:line="233" w:lineRule="auto"/>
        <w:rPr>
          <w:sz w:val="20"/>
          <w:szCs w:val="20"/>
          <w:color w:val="auto"/>
        </w:rPr>
      </w:pPr>
      <w:r>
        <w:rPr>
          <w:rFonts w:ascii="Times New Roman" w:cs="Times New Roman" w:eastAsia="Times New Roman" w:hAnsi="Times New Roman"/>
          <w:sz w:val="22"/>
          <w:szCs w:val="22"/>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87" w:lineRule="exact"/>
        <w:rPr>
          <w:sz w:val="20"/>
          <w:szCs w:val="20"/>
          <w:color w:val="auto"/>
        </w:rPr>
      </w:pPr>
    </w:p>
    <w:p>
      <w:pPr>
        <w:jc w:val="both"/>
        <w:ind w:firstLine="1663"/>
        <w:spacing w:after="0" w:line="249" w:lineRule="auto"/>
        <w:rPr>
          <w:sz w:val="20"/>
          <w:szCs w:val="20"/>
          <w:color w:val="auto"/>
        </w:rPr>
      </w:pPr>
      <w:r>
        <w:rPr>
          <w:rFonts w:ascii="Times New Roman" w:cs="Times New Roman" w:eastAsia="Times New Roman" w:hAnsi="Times New Roman"/>
          <w:sz w:val="21"/>
          <w:szCs w:val="21"/>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71" w:lineRule="exact"/>
        <w:rPr>
          <w:sz w:val="20"/>
          <w:szCs w:val="20"/>
          <w:color w:val="auto"/>
        </w:rPr>
      </w:pPr>
    </w:p>
    <w:p>
      <w:pPr>
        <w:jc w:val="both"/>
        <w:ind w:firstLine="1663"/>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2" w:name="page333"/>
    <w:bookmarkEnd w:id="332"/>
    <w:p>
      <w:pPr>
        <w:jc w:val="both"/>
        <w:ind w:firstLine="1663"/>
        <w:spacing w:after="0" w:line="234"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Outside Director Awards</w:t>
      </w:r>
      <w:r>
        <w:rPr>
          <w:rFonts w:ascii="Times New Roman" w:cs="Times New Roman" w:eastAsia="Times New Roman" w:hAnsi="Times New Roman"/>
          <w:sz w:val="22"/>
          <w:szCs w:val="22"/>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Parent or Subsidiaries, as applicable.</w:t>
      </w:r>
    </w:p>
    <w:p>
      <w:pPr>
        <w:spacing w:after="0" w:line="179" w:lineRule="exact"/>
        <w:rPr>
          <w:sz w:val="20"/>
          <w:szCs w:val="20"/>
          <w:color w:val="auto"/>
        </w:rPr>
      </w:pPr>
    </w:p>
    <w:p>
      <w:pPr>
        <w:ind w:left="1760" w:hanging="920"/>
        <w:spacing w:after="0"/>
        <w:tabs>
          <w:tab w:leader="none" w:pos="176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51" w:lineRule="exact"/>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and other taxes (including the Participant’s FICA obligation) required to be withheld or paid with respect to such Award (or exercise thereof).</w:t>
      </w:r>
    </w:p>
    <w:p>
      <w:pPr>
        <w:spacing w:after="0" w:line="182" w:lineRule="exact"/>
        <w:rPr>
          <w:sz w:val="20"/>
          <w:szCs w:val="20"/>
          <w:color w:val="auto"/>
        </w:rPr>
      </w:pPr>
    </w:p>
    <w:p>
      <w:pPr>
        <w:jc w:val="both"/>
        <w:ind w:firstLine="1663"/>
        <w:spacing w:after="0" w:line="232"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u w:val="single" w:color="auto"/>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3" w:name="page334"/>
    <w:bookmarkEnd w:id="333"/>
    <w:p>
      <w:pPr>
        <w:jc w:val="both"/>
        <w:ind w:firstLine="840"/>
        <w:spacing w:after="0" w:line="238" w:lineRule="auto"/>
        <w:tabs>
          <w:tab w:leader="none" w:pos="175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76" w:lineRule="exact"/>
        <w:rPr>
          <w:rFonts w:ascii="Times New Roman" w:cs="Times New Roman" w:eastAsia="Times New Roman" w:hAnsi="Times New Roman"/>
          <w:sz w:val="22"/>
          <w:szCs w:val="22"/>
          <w:color w:val="auto"/>
        </w:rPr>
      </w:pPr>
    </w:p>
    <w:p>
      <w:pPr>
        <w:jc w:val="both"/>
        <w:ind w:firstLine="840"/>
        <w:spacing w:after="0" w:line="244" w:lineRule="auto"/>
        <w:tabs>
          <w:tab w:leader="none" w:pos="175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3" w:lineRule="exact"/>
        <w:rPr>
          <w:rFonts w:ascii="Times New Roman" w:cs="Times New Roman" w:eastAsia="Times New Roman" w:hAnsi="Times New Roman"/>
          <w:sz w:val="22"/>
          <w:szCs w:val="22"/>
          <w:color w:val="auto"/>
        </w:rPr>
      </w:pPr>
    </w:p>
    <w:p>
      <w:pPr>
        <w:jc w:val="both"/>
        <w:ind w:firstLine="840"/>
        <w:spacing w:after="0" w:line="238" w:lineRule="auto"/>
        <w:tabs>
          <w:tab w:leader="none" w:pos="175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Subject to Section 23 of the Plan, the Plan will become effective as of one business day prior to the Registration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Plan will continue in effect until terminated under Section 20, but (a) no Options that qualify as incentive stock options within the meaning of Code Section 422 may be granted after ten (10) years from the earlier of the Board or stockholder approval of the Plan and (b) Section 3.2 relating to automatic share reserve increases will operate only until the ten (10) year anniversary of the earlier of the Board or stockholder approval of the Plan.</w:t>
      </w:r>
    </w:p>
    <w:p>
      <w:pPr>
        <w:spacing w:after="0" w:line="176" w:lineRule="exact"/>
        <w:rPr>
          <w:rFonts w:ascii="Times New Roman" w:cs="Times New Roman" w:eastAsia="Times New Roman" w:hAnsi="Times New Roman"/>
          <w:sz w:val="22"/>
          <w:szCs w:val="22"/>
          <w:color w:val="auto"/>
        </w:rPr>
      </w:pPr>
    </w:p>
    <w:p>
      <w:pPr>
        <w:ind w:left="1760" w:hanging="920"/>
        <w:spacing w:after="0"/>
        <w:tabs>
          <w:tab w:leader="none" w:pos="17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680"/>
        <w:spacing w:after="0"/>
        <w:tabs>
          <w:tab w:leader="none" w:pos="2680" w:val="left"/>
          <w:tab w:leader="none" w:pos="558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Administrator may at any time amend, alter, suspend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terminate the Plan.</w:t>
      </w:r>
    </w:p>
    <w:p>
      <w:pPr>
        <w:spacing w:after="0" w:line="182"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158" w:lineRule="exact"/>
        <w:rPr>
          <w:sz w:val="20"/>
          <w:szCs w:val="20"/>
          <w:color w:val="auto"/>
        </w:rPr>
      </w:pPr>
    </w:p>
    <w:p>
      <w:pPr>
        <w:jc w:val="both"/>
        <w:ind w:firstLine="1663"/>
        <w:spacing w:after="0" w:line="238"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7" w:lineRule="exact"/>
        <w:rPr>
          <w:sz w:val="20"/>
          <w:szCs w:val="20"/>
          <w:color w:val="auto"/>
        </w:rPr>
      </w:pPr>
    </w:p>
    <w:p>
      <w:pPr>
        <w:ind w:left="1760" w:hanging="920"/>
        <w:spacing w:after="0"/>
        <w:tabs>
          <w:tab w:leader="none" w:pos="176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3"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4" w:name="page335"/>
    <w:bookmarkEnd w:id="334"/>
    <w:p>
      <w:pPr>
        <w:jc w:val="both"/>
        <w:ind w:left="-840" w:firstLine="840"/>
        <w:spacing w:after="0" w:line="251" w:lineRule="exact"/>
        <w:tabs>
          <w:tab w:leader="none" w:pos="91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Inability to Obtain Authority</w:t>
      </w:r>
      <w:r>
        <w:rPr>
          <w:rFonts w:ascii="Times New Roman" w:cs="Times New Roman" w:eastAsia="Times New Roman" w:hAnsi="Times New Roman"/>
          <w:sz w:val="21"/>
          <w:szCs w:val="21"/>
          <w:color w:val="auto"/>
        </w:rPr>
        <w:t>. The inability of the Company to obtain authority 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76" w:lineRule="exact"/>
        <w:rPr>
          <w:rFonts w:ascii="Times New Roman" w:cs="Times New Roman" w:eastAsia="Times New Roman" w:hAnsi="Times New Roman"/>
          <w:sz w:val="21"/>
          <w:szCs w:val="21"/>
          <w:color w:val="auto"/>
        </w:rPr>
      </w:pPr>
    </w:p>
    <w:p>
      <w:pPr>
        <w:jc w:val="both"/>
        <w:ind w:left="-840" w:firstLine="840"/>
        <w:spacing w:after="0" w:line="244" w:lineRule="auto"/>
        <w:tabs>
          <w:tab w:leader="none" w:pos="91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73" w:lineRule="exact"/>
        <w:rPr>
          <w:rFonts w:ascii="Times New Roman" w:cs="Times New Roman" w:eastAsia="Times New Roman" w:hAnsi="Times New Roman"/>
          <w:sz w:val="22"/>
          <w:szCs w:val="22"/>
          <w:color w:val="auto"/>
        </w:rPr>
      </w:pPr>
    </w:p>
    <w:p>
      <w:pPr>
        <w:jc w:val="both"/>
        <w:ind w:left="-840" w:firstLine="840"/>
        <w:spacing w:after="0" w:line="247" w:lineRule="exact"/>
        <w:tabs>
          <w:tab w:leader="none" w:pos="91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Events</w:t>
      </w:r>
      <w:r>
        <w:rPr>
          <w:rFonts w:ascii="Times New Roman" w:cs="Times New Roman" w:eastAsia="Times New Roman" w:hAnsi="Times New Roman"/>
          <w:sz w:val="22"/>
          <w:szCs w:val="22"/>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2" w:lineRule="exact"/>
        <w:rPr>
          <w:rFonts w:ascii="Times New Roman" w:cs="Times New Roman" w:eastAsia="Times New Roman" w:hAnsi="Times New Roman"/>
          <w:sz w:val="22"/>
          <w:szCs w:val="22"/>
          <w:color w:val="auto"/>
        </w:rPr>
      </w:pPr>
    </w:p>
    <w:p>
      <w:pPr>
        <w:ind w:left="4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4680" w:hanging="130"/>
        <w:spacing w:after="0"/>
        <w:tabs>
          <w:tab w:leader="none" w:pos="4680" w:val="left"/>
        </w:tabs>
        <w:numPr>
          <w:ilvl w:val="2"/>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0400"/>
          </w:cols>
          <w:pgMar w:left="1160" w:top="544" w:right="33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STOCK OPTION GRANT</w:t>
      </w:r>
    </w:p>
    <w:p>
      <w:pPr>
        <w:spacing w:after="0" w:line="210" w:lineRule="exact"/>
        <w:rPr>
          <w:sz w:val="20"/>
          <w:szCs w:val="20"/>
          <w:color w:val="auto"/>
        </w:rPr>
      </w:pPr>
    </w:p>
    <w:p>
      <w:pPr>
        <w:jc w:val="both"/>
        <w:ind w:firstLine="832"/>
        <w:spacing w:after="0" w:line="255" w:lineRule="auto"/>
        <w:rPr>
          <w:sz w:val="20"/>
          <w:szCs w:val="20"/>
          <w:color w:val="auto"/>
        </w:rPr>
      </w:pPr>
      <w:r>
        <w:rPr>
          <w:rFonts w:ascii="Times New Roman" w:cs="Times New Roman" w:eastAsia="Times New Roman" w:hAnsi="Times New Roman"/>
          <w:sz w:val="21"/>
          <w:szCs w:val="21"/>
          <w:color w:val="auto"/>
        </w:rPr>
        <w:t>Unless otherwise defined herein, the terms defined in the Athira Pharma, Inc. 2020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have the same defined meanings in this Stock Option Agreement, which includes the Notice of Stock Option Grant (the “</w:t>
      </w:r>
      <w:r>
        <w:rPr>
          <w:rFonts w:ascii="Times New Roman" w:cs="Times New Roman" w:eastAsia="Times New Roman" w:hAnsi="Times New Roman"/>
          <w:sz w:val="21"/>
          <w:szCs w:val="21"/>
          <w:u w:val="single" w:color="auto"/>
          <w:color w:val="auto"/>
        </w:rPr>
        <w:t>Notice of Grant</w:t>
      </w:r>
      <w:r>
        <w:rPr>
          <w:rFonts w:ascii="Times New Roman" w:cs="Times New Roman" w:eastAsia="Times New Roman" w:hAnsi="Times New Roman"/>
          <w:sz w:val="21"/>
          <w:szCs w:val="21"/>
          <w:color w:val="auto"/>
        </w:rPr>
        <w:t xml:space="preserve">”), the Terms and Conditions of Stock Option Grant,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the Exercise Notice, attached hereto as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 and all other exhibits, appendices, and addenda attached hereto (together, the “</w:t>
      </w:r>
      <w:r>
        <w:rPr>
          <w:rFonts w:ascii="Times New Roman" w:cs="Times New Roman" w:eastAsia="Times New Roman" w:hAnsi="Times New Roman"/>
          <w:sz w:val="21"/>
          <w:szCs w:val="21"/>
          <w:u w:val="single" w:color="auto"/>
          <w:color w:val="auto"/>
        </w:rPr>
        <w:t>Option Agreement</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firstLine="832"/>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Option to purchase Common Stock of the Company, subject to the terms and conditions of the Plan and this Option Agreement, as follows:</w:t>
      </w:r>
    </w:p>
    <w:p>
      <w:pPr>
        <w:spacing w:after="0" w:line="374" w:lineRule="exact"/>
        <w:rPr>
          <w:sz w:val="20"/>
          <w:szCs w:val="20"/>
          <w:color w:val="auto"/>
        </w:rPr>
      </w:pPr>
    </w:p>
    <w:tbl>
      <w:tblPr>
        <w:tblLayout w:type="fixed"/>
        <w:tblInd w:w="840" w:type="dxa"/>
        <w:tblCellMar>
          <w:top w:w="0" w:type="dxa"/>
          <w:left w:w="0" w:type="dxa"/>
          <w:bottom w:w="0" w:type="dxa"/>
          <w:right w:w="0" w:type="dxa"/>
        </w:tblCellMar>
      </w:tblPr>
      <w:tr>
        <w:trPr>
          <w:trHeight w:val="270"/>
        </w:trPr>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Number:</w:t>
            </w:r>
          </w:p>
        </w:tc>
        <w:tc>
          <w:tcPr>
            <w:tcW w:w="120" w:type="dxa"/>
            <w:vAlign w:val="bottom"/>
            <w:tcBorders>
              <w:bottom w:val="single" w:sz="8" w:color="auto"/>
            </w:tcBorders>
          </w:tcPr>
          <w:p>
            <w:pPr>
              <w:spacing w:after="0"/>
              <w:rPr>
                <w:sz w:val="23"/>
                <w:szCs w:val="23"/>
                <w:color w:val="auto"/>
              </w:rPr>
            </w:pPr>
          </w:p>
        </w:tc>
        <w:tc>
          <w:tcPr>
            <w:tcW w:w="4460" w:type="dxa"/>
            <w:vAlign w:val="bottom"/>
            <w:tcBorders>
              <w:bottom w:val="single" w:sz="8" w:color="auto"/>
            </w:tcBorders>
          </w:tcPr>
          <w:p>
            <w:pPr>
              <w:spacing w:after="0"/>
              <w:rPr>
                <w:sz w:val="23"/>
                <w:szCs w:val="23"/>
                <w:color w:val="auto"/>
              </w:rPr>
            </w:pPr>
          </w:p>
        </w:tc>
      </w:tr>
      <w:tr>
        <w:trPr>
          <w:trHeight w:val="453"/>
        </w:trPr>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of Grant:</w:t>
            </w:r>
          </w:p>
        </w:tc>
        <w:tc>
          <w:tcPr>
            <w:tcW w:w="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453"/>
        </w:trPr>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Vesting Commencement Date:</w:t>
            </w:r>
          </w:p>
        </w:tc>
        <w:tc>
          <w:tcPr>
            <w:tcW w:w="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453"/>
        </w:trPr>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Exercise Price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4460" w:type="dxa"/>
            <w:vAlign w:val="bottom"/>
            <w:tcBorders>
              <w:bottom w:val="single" w:sz="8" w:color="auto"/>
            </w:tcBorders>
          </w:tcPr>
          <w:p>
            <w:pPr>
              <w:spacing w:after="0"/>
              <w:rPr>
                <w:sz w:val="24"/>
                <w:szCs w:val="24"/>
                <w:color w:val="auto"/>
              </w:rPr>
            </w:pPr>
          </w:p>
        </w:tc>
      </w:tr>
      <w:tr>
        <w:trPr>
          <w:trHeight w:val="453"/>
        </w:trPr>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Number of Shares Granted:</w:t>
            </w:r>
          </w:p>
        </w:tc>
        <w:tc>
          <w:tcPr>
            <w:tcW w:w="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453"/>
        </w:trPr>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4460" w:type="dxa"/>
            <w:vAlign w:val="bottom"/>
            <w:tcBorders>
              <w:bottom w:val="single" w:sz="8" w:color="auto"/>
            </w:tcBorders>
          </w:tcPr>
          <w:p>
            <w:pPr>
              <w:spacing w:after="0"/>
              <w:rPr>
                <w:sz w:val="24"/>
                <w:szCs w:val="24"/>
                <w:color w:val="auto"/>
              </w:rPr>
            </w:pPr>
          </w:p>
        </w:tc>
      </w:tr>
      <w:tr>
        <w:trPr>
          <w:trHeight w:val="453"/>
        </w:trPr>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Type of Option:</w:t>
            </w:r>
          </w:p>
        </w:tc>
        <w:tc>
          <w:tcPr>
            <w:tcW w:w="120" w:type="dxa"/>
            <w:vAlign w:val="bottom"/>
            <w:tcBorders>
              <w:bottom w:val="single" w:sz="8" w:color="auto"/>
            </w:tcBorders>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Incentive Stock Option</w:t>
            </w:r>
          </w:p>
        </w:tc>
      </w:tr>
      <w:tr>
        <w:trPr>
          <w:trHeight w:val="453"/>
        </w:trPr>
        <w:tc>
          <w:tcPr>
            <w:tcW w:w="1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Nonstatutory Stock Option</w:t>
            </w:r>
          </w:p>
        </w:tc>
      </w:tr>
      <w:tr>
        <w:trPr>
          <w:trHeight w:val="453"/>
        </w:trPr>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Term/Expiration Date:</w:t>
            </w:r>
          </w:p>
        </w:tc>
        <w:tc>
          <w:tcPr>
            <w:tcW w:w="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412"/>
        </w:trPr>
        <w:tc>
          <w:tcPr>
            <w:tcW w:w="4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Vesting Schedule:</w:t>
            </w:r>
          </w:p>
        </w:tc>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4946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6" w:name="page337"/>
    <w:bookmarkEnd w:id="336"/>
    <w:p>
      <w:pPr>
        <w:ind w:left="840"/>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u w:val="single" w:color="auto"/>
          <w:color w:val="auto"/>
        </w:rPr>
        <w:t>Termination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32"/>
        <w:spacing w:after="0" w:line="249" w:lineRule="auto"/>
        <w:rPr>
          <w:sz w:val="20"/>
          <w:szCs w:val="20"/>
          <w:color w:val="auto"/>
        </w:rPr>
      </w:pPr>
      <w:r>
        <w:rPr>
          <w:rFonts w:ascii="Times New Roman" w:cs="Times New Roman" w:eastAsia="Times New Roman" w:hAnsi="Times New Roman"/>
          <w:sz w:val="21"/>
          <w:szCs w:val="21"/>
          <w:color w:val="auto"/>
        </w:rPr>
        <w:t>This Option shall be exercisable, to the extent vested, for [ ] after Participant ceases to be a Service Provider, unless (x) such cessation is due to Participant’s Disability, in which case this Option shall be exercisable, to the extent vested, for [ ] after Participant ceases to be a Service Provider, or (y) such cessation is due to Participant’s death or Participant dies within three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(3) months following such date of cessation, in which case this Option shall be exercisable, to the extent vested, for [ ] after Participant ceases to be a Service Provider. Notwithstanding the foregoing sentence, in no event may this Option be exercised after the Term/Expiration Date as provided above and this Option may be subject to earlier termination as provided in Section 15 of the Plan.</w:t>
      </w:r>
    </w:p>
    <w:p>
      <w:pPr>
        <w:spacing w:after="0" w:line="177"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1"/>
          <w:szCs w:val="21"/>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Exercise Notice,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spacing w:after="0" w:line="175"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ATHIRA PHARMA, INC.</w:t>
      </w:r>
    </w:p>
    <w:p>
      <w:pPr>
        <w:sectPr>
          <w:pgSz w:w="11900" w:h="16838" w:orient="portrait"/>
          <w:cols w:equalWidth="0" w:num="1">
            <w:col w:w="11240"/>
          </w:cols>
          <w:pgMar w:left="320" w:top="544"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1718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1718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31718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31718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31718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4">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1629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31629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6">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30"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31629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5540" w:space="720"/>
            <w:col w:w="4980"/>
          </w:cols>
          <w:pgMar w:left="320" w:top="5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337" w:name="page338"/>
    <w:bookmarkEnd w:id="337"/>
    <w:p>
      <w:pPr>
        <w:ind w:left="42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STOCK OPTION GRANT</w:t>
      </w:r>
    </w:p>
    <w:p>
      <w:pPr>
        <w:spacing w:after="0" w:line="210" w:lineRule="exact"/>
        <w:rPr>
          <w:sz w:val="20"/>
          <w:szCs w:val="20"/>
          <w:color w:val="auto"/>
        </w:rPr>
      </w:pPr>
    </w:p>
    <w:p>
      <w:pPr>
        <w:ind w:left="820" w:hanging="820"/>
        <w:spacing w:after="0"/>
        <w:tabs>
          <w:tab w:leader="none" w:pos="82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40" w:firstLine="1671"/>
        <w:spacing w:after="0" w:line="236" w:lineRule="auto"/>
        <w:tabs>
          <w:tab w:leader="none" w:pos="1711"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Stock Option Grant of this Option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an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the number of Shares set forth in the Notice of Grant, at the exercise price per Share set forth in the Notice of Grant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subject to all of the terms and conditions in this Option Agreement and the Plan, which is incorporated herein by reference. Subject to Section 20 of the Plan, in the event of a conflict between the terms and conditions of the Plan and this Option Agreement, the terms and conditions of the Plan shall prevail.</w:t>
      </w:r>
    </w:p>
    <w:p>
      <w:pPr>
        <w:spacing w:after="0" w:line="181" w:lineRule="exact"/>
        <w:rPr>
          <w:rFonts w:ascii="Times New Roman" w:cs="Times New Roman" w:eastAsia="Times New Roman" w:hAnsi="Times New Roman"/>
          <w:sz w:val="22"/>
          <w:szCs w:val="22"/>
          <w:color w:val="auto"/>
        </w:rPr>
      </w:pPr>
    </w:p>
    <w:p>
      <w:pPr>
        <w:jc w:val="both"/>
        <w:ind w:left="-840" w:firstLine="1671"/>
        <w:spacing w:after="0" w:line="235" w:lineRule="auto"/>
        <w:tabs>
          <w:tab w:leader="none" w:pos="1723"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U.S. taxpayers, if designated in the Notice of Grant as an Incentive Stock Option (“</w:t>
      </w:r>
      <w:r>
        <w:rPr>
          <w:rFonts w:ascii="Times New Roman" w:cs="Times New Roman" w:eastAsia="Times New Roman" w:hAnsi="Times New Roman"/>
          <w:sz w:val="22"/>
          <w:szCs w:val="22"/>
          <w:u w:val="single" w:color="auto"/>
          <w:color w:val="auto"/>
        </w:rPr>
        <w:t>ISO</w:t>
      </w:r>
      <w:r>
        <w:rPr>
          <w:rFonts w:ascii="Times New Roman" w:cs="Times New Roman" w:eastAsia="Times New Roman" w:hAnsi="Times New Roman"/>
          <w:sz w:val="22"/>
          <w:szCs w:val="22"/>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Times New Roman" w:cs="Times New Roman" w:eastAsia="Times New Roman" w:hAnsi="Times New Roman"/>
          <w:sz w:val="22"/>
          <w:szCs w:val="22"/>
          <w:u w:val="single" w:color="auto"/>
          <w:color w:val="auto"/>
        </w:rPr>
        <w:t>NSO</w:t>
      </w:r>
      <w:r>
        <w:rPr>
          <w:rFonts w:ascii="Times New Roman" w:cs="Times New Roman" w:eastAsia="Times New Roman" w:hAnsi="Times New Roman"/>
          <w:sz w:val="22"/>
          <w:szCs w:val="22"/>
          <w:color w:val="auto"/>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3" w:lineRule="exact"/>
        <w:rPr>
          <w:rFonts w:ascii="Times New Roman" w:cs="Times New Roman" w:eastAsia="Times New Roman" w:hAnsi="Times New Roman"/>
          <w:sz w:val="22"/>
          <w:szCs w:val="22"/>
          <w:color w:val="auto"/>
        </w:rPr>
      </w:pPr>
    </w:p>
    <w:p>
      <w:pPr>
        <w:ind w:left="1720" w:hanging="889"/>
        <w:spacing w:after="0"/>
        <w:tabs>
          <w:tab w:leader="none" w:pos="172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non-U.S. taxpayers, the Option will be designated as an NSO.</w:t>
      </w:r>
    </w:p>
    <w:p>
      <w:pPr>
        <w:spacing w:after="0" w:line="206" w:lineRule="exact"/>
        <w:rPr>
          <w:rFonts w:ascii="Times New Roman" w:cs="Times New Roman" w:eastAsia="Times New Roman" w:hAnsi="Times New Roman"/>
          <w:sz w:val="22"/>
          <w:szCs w:val="22"/>
          <w:color w:val="auto"/>
        </w:rPr>
      </w:pPr>
    </w:p>
    <w:p>
      <w:pPr>
        <w:jc w:val="both"/>
        <w:ind w:left="-840" w:firstLine="840"/>
        <w:spacing w:after="0" w:line="236" w:lineRule="auto"/>
        <w:tabs>
          <w:tab w:leader="none" w:pos="80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81" w:lineRule="exact"/>
        <w:rPr>
          <w:rFonts w:ascii="Times New Roman" w:cs="Times New Roman" w:eastAsia="Times New Roman" w:hAnsi="Times New Roman"/>
          <w:sz w:val="22"/>
          <w:szCs w:val="22"/>
          <w:color w:val="auto"/>
        </w:rPr>
      </w:pPr>
    </w:p>
    <w:p>
      <w:pPr>
        <w:jc w:val="both"/>
        <w:ind w:left="-840" w:firstLine="840"/>
        <w:spacing w:after="0" w:line="244" w:lineRule="auto"/>
        <w:tabs>
          <w:tab w:leader="none" w:pos="80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196215</wp:posOffset>
            </wp:positionV>
            <wp:extent cx="714946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324" w:right="339" w:bottom="1440" w:gutter="0" w:footer="0" w:header="0"/>
        </w:sectPr>
      </w:pPr>
    </w:p>
    <w:bookmarkStart w:id="338" w:name="page339"/>
    <w:bookmarkEnd w:id="338"/>
    <w:p>
      <w:pPr>
        <w:ind w:left="1660" w:hanging="820"/>
        <w:spacing w:after="0"/>
        <w:tabs>
          <w:tab w:leader="none" w:pos="16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671"/>
        <w:spacing w:after="0" w:line="258" w:lineRule="auto"/>
        <w:tabs>
          <w:tab w:leader="none" w:pos="2551"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Exercise</w:t>
      </w:r>
      <w:r>
        <w:rPr>
          <w:rFonts w:ascii="Times New Roman" w:cs="Times New Roman" w:eastAsia="Times New Roman" w:hAnsi="Times New Roman"/>
          <w:sz w:val="22"/>
          <w:szCs w:val="22"/>
          <w:color w:val="auto"/>
        </w:rPr>
        <w:t>. This Option shall be exercisable during its term in accordance with the Vesting Schedule set out in the Notice of Grant and with the applicable provisions of the Plan and this Option Agreement.</w:t>
      </w:r>
    </w:p>
    <w:p>
      <w:pPr>
        <w:spacing w:after="0" w:line="158" w:lineRule="exact"/>
        <w:rPr>
          <w:rFonts w:ascii="Times New Roman" w:cs="Times New Roman" w:eastAsia="Times New Roman" w:hAnsi="Times New Roman"/>
          <w:sz w:val="22"/>
          <w:szCs w:val="22"/>
          <w:color w:val="auto"/>
        </w:rPr>
      </w:pPr>
    </w:p>
    <w:p>
      <w:pPr>
        <w:jc w:val="both"/>
        <w:ind w:firstLine="1671"/>
        <w:spacing w:after="0" w:line="235" w:lineRule="auto"/>
        <w:tabs>
          <w:tab w:leader="none" w:pos="2563"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This Option shall be exercisable by delivery of an exercise notice (the “</w:t>
      </w:r>
      <w:r>
        <w:rPr>
          <w:rFonts w:ascii="Times New Roman" w:cs="Times New Roman" w:eastAsia="Times New Roman" w:hAnsi="Times New Roman"/>
          <w:sz w:val="22"/>
          <w:szCs w:val="22"/>
          <w:u w:val="single" w:color="auto"/>
          <w:color w:val="auto"/>
        </w:rPr>
        <w:t>Exercise Notice</w:t>
      </w:r>
      <w:r>
        <w:rPr>
          <w:rFonts w:ascii="Times New Roman" w:cs="Times New Roman" w:eastAsia="Times New Roman" w:hAnsi="Times New Roman"/>
          <w:sz w:val="22"/>
          <w:szCs w:val="22"/>
          <w:color w:val="auto"/>
        </w:rPr>
        <w:t xml:space="preserve">”) in the form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Notice of Grant or in a manner and pursuant to such procedures as the Administrator may determine, which shall state the election to exercise the Option, the number of Shares with respect to which the Option is being exercised (the “</w:t>
      </w:r>
      <w:r>
        <w:rPr>
          <w:rFonts w:ascii="Times New Roman" w:cs="Times New Roman" w:eastAsia="Times New Roman" w:hAnsi="Times New Roman"/>
          <w:sz w:val="22"/>
          <w:szCs w:val="22"/>
          <w:u w:val="single" w:color="auto"/>
          <w:color w:val="auto"/>
        </w:rPr>
        <w:t>Exercised Shares</w:t>
      </w:r>
      <w:r>
        <w:rPr>
          <w:rFonts w:ascii="Times New Roman" w:cs="Times New Roman" w:eastAsia="Times New Roman" w:hAnsi="Times New Roman"/>
          <w:sz w:val="22"/>
          <w:szCs w:val="22"/>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spacing w:after="0" w:line="178"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3" w:lineRule="exact"/>
        <w:rPr>
          <w:sz w:val="20"/>
          <w:szCs w:val="20"/>
          <w:color w:val="auto"/>
        </w:rPr>
      </w:pPr>
    </w:p>
    <w:p>
      <w:pPr>
        <w:ind w:firstLine="840"/>
        <w:spacing w:after="0" w:line="258" w:lineRule="auto"/>
        <w:tabs>
          <w:tab w:leader="none" w:pos="164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Payment of the aggregate Exercise Price shall be by any of the following, or a combination thereof, at the election of Participant:</w:t>
      </w:r>
    </w:p>
    <w:p>
      <w:pPr>
        <w:spacing w:after="0" w:line="158" w:lineRule="exact"/>
        <w:rPr>
          <w:rFonts w:ascii="Times New Roman" w:cs="Times New Roman" w:eastAsia="Times New Roman" w:hAnsi="Times New Roman"/>
          <w:sz w:val="22"/>
          <w:szCs w:val="22"/>
          <w:color w:val="auto"/>
        </w:rPr>
      </w:pPr>
    </w:p>
    <w:p>
      <w:pPr>
        <w:ind w:left="2560" w:hanging="889"/>
        <w:spacing w:after="0"/>
        <w:tabs>
          <w:tab w:leader="none" w:pos="256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w:t>
      </w:r>
    </w:p>
    <w:p>
      <w:pPr>
        <w:spacing w:after="0" w:line="206"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w:t>
      </w:r>
    </w:p>
    <w:p>
      <w:pPr>
        <w:spacing w:after="0" w:line="206" w:lineRule="exact"/>
        <w:rPr>
          <w:rFonts w:ascii="Times New Roman" w:cs="Times New Roman" w:eastAsia="Times New Roman" w:hAnsi="Times New Roman"/>
          <w:sz w:val="22"/>
          <w:szCs w:val="22"/>
          <w:color w:val="auto"/>
        </w:rPr>
      </w:pPr>
    </w:p>
    <w:p>
      <w:pPr>
        <w:ind w:firstLine="1671"/>
        <w:spacing w:after="0" w:line="258" w:lineRule="auto"/>
        <w:tabs>
          <w:tab w:leader="none" w:pos="2551"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received by the Company under a formal cashless exercise program adopted by the Company in connection with the Plan; or</w:t>
      </w:r>
    </w:p>
    <w:p>
      <w:pPr>
        <w:spacing w:after="0" w:line="158" w:lineRule="exact"/>
        <w:rPr>
          <w:rFonts w:ascii="Times New Roman" w:cs="Times New Roman" w:eastAsia="Times New Roman" w:hAnsi="Times New Roman"/>
          <w:sz w:val="22"/>
          <w:szCs w:val="22"/>
          <w:color w:val="auto"/>
        </w:rPr>
      </w:pPr>
    </w:p>
    <w:p>
      <w:pPr>
        <w:jc w:val="both"/>
        <w:ind w:firstLine="1671"/>
        <w:spacing w:after="0" w:line="239" w:lineRule="auto"/>
        <w:tabs>
          <w:tab w:leader="none" w:pos="2563"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80" w:lineRule="exact"/>
        <w:rPr>
          <w:sz w:val="20"/>
          <w:szCs w:val="20"/>
          <w:color w:val="auto"/>
        </w:rPr>
      </w:pPr>
    </w:p>
    <w:p>
      <w:pPr>
        <w:ind w:firstLine="832"/>
        <w:spacing w:after="0" w:line="258" w:lineRule="auto"/>
        <w:rPr>
          <w:sz w:val="20"/>
          <w:szCs w:val="20"/>
          <w:color w:val="auto"/>
        </w:rPr>
      </w:pPr>
      <w:r>
        <w:rPr>
          <w:rFonts w:ascii="Times New Roman" w:cs="Times New Roman" w:eastAsia="Times New Roman" w:hAnsi="Times New Roman"/>
          <w:sz w:val="22"/>
          <w:szCs w:val="22"/>
          <w:color w:val="auto"/>
        </w:rPr>
        <w:t>A non-U.S. resident’s methods of exercise may be restricted by the terms and conditions of any appendix to this Agreement for Participant’s country (including the Country Addendum, as defined below).</w:t>
      </w:r>
    </w:p>
    <w:p>
      <w:pPr>
        <w:spacing w:after="0" w:line="158" w:lineRule="exact"/>
        <w:rPr>
          <w:sz w:val="20"/>
          <w:szCs w:val="20"/>
          <w:color w:val="auto"/>
        </w:rPr>
      </w:pPr>
    </w:p>
    <w:p>
      <w:pPr>
        <w:ind w:firstLine="840"/>
        <w:spacing w:after="0" w:line="258" w:lineRule="auto"/>
        <w:tabs>
          <w:tab w:leader="none" w:pos="164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This Option may not be transferred in any manner otherwise than by will or by the laws of descent or distribution and may be exercised during the lifetime of Participant only by Participant.</w:t>
      </w:r>
    </w:p>
    <w:p>
      <w:pPr>
        <w:spacing w:after="0" w:line="158" w:lineRule="exact"/>
        <w:rPr>
          <w:rFonts w:ascii="Times New Roman" w:cs="Times New Roman" w:eastAsia="Times New Roman" w:hAnsi="Times New Roman"/>
          <w:sz w:val="22"/>
          <w:szCs w:val="22"/>
          <w:color w:val="auto"/>
        </w:rPr>
      </w:pPr>
    </w:p>
    <w:p>
      <w:pPr>
        <w:ind w:right="20" w:firstLine="840"/>
        <w:spacing w:after="0" w:line="258" w:lineRule="auto"/>
        <w:tabs>
          <w:tab w:leader="none" w:pos="164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This Option may be exercised only within the term set out in the Notice of Grant, and may be exercised during such term only in accordance with the Plan and the terms of this Option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9" w:name="page340"/>
    <w:bookmarkEnd w:id="339"/>
    <w:p>
      <w:pPr>
        <w:ind w:left="1660" w:hanging="820"/>
        <w:spacing w:after="0"/>
        <w:tabs>
          <w:tab w:leader="none" w:pos="166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671"/>
        <w:spacing w:after="0" w:line="232" w:lineRule="auto"/>
        <w:tabs>
          <w:tab w:leader="none" w:pos="2551" w:val="left"/>
        </w:tabs>
        <w:numPr>
          <w:ilvl w:val="2"/>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or any Parent or Subsidiary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3" w:lineRule="exact"/>
        <w:rPr>
          <w:rFonts w:ascii="Times New Roman" w:cs="Times New Roman" w:eastAsia="Times New Roman" w:hAnsi="Times New Roman"/>
          <w:sz w:val="22"/>
          <w:szCs w:val="22"/>
          <w:color w:val="auto"/>
        </w:rPr>
      </w:pPr>
    </w:p>
    <w:p>
      <w:pPr>
        <w:jc w:val="both"/>
        <w:ind w:firstLine="1671"/>
        <w:spacing w:after="0" w:line="247" w:lineRule="auto"/>
        <w:tabs>
          <w:tab w:leader="none" w:pos="2563" w:val="left"/>
        </w:tabs>
        <w:numPr>
          <w:ilvl w:val="2"/>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w:t>
      </w:r>
    </w:p>
    <w:p>
      <w:pPr>
        <w:spacing w:after="0" w:line="1" w:lineRule="exact"/>
        <w:rPr>
          <w:rFonts w:ascii="Times New Roman" w:cs="Times New Roman" w:eastAsia="Times New Roman" w:hAnsi="Times New Roman"/>
          <w:sz w:val="21"/>
          <w:szCs w:val="21"/>
          <w:color w:val="auto"/>
        </w:rPr>
      </w:pPr>
    </w:p>
    <w:p>
      <w:pPr>
        <w:jc w:val="both"/>
        <w:ind w:firstLine="8"/>
        <w:spacing w:after="0" w:line="231" w:lineRule="auto"/>
        <w:tabs>
          <w:tab w:leader="none" w:pos="35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Tax Obligations by reducing the number of Shares otherwise deliverable to Participant.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0" w:name="page341"/>
    <w:bookmarkEnd w:id="340"/>
    <w:p>
      <w:pPr>
        <w:jc w:val="both"/>
        <w:ind w:firstLine="1671"/>
        <w:spacing w:after="0" w:line="241" w:lineRule="auto"/>
        <w:tabs>
          <w:tab w:leader="none" w:pos="2551" w:val="left"/>
        </w:tabs>
        <w:numPr>
          <w:ilvl w:val="2"/>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Disqualifying Disposition of ISO Shares</w:t>
      </w:r>
      <w:r>
        <w:rPr>
          <w:rFonts w:ascii="Times New Roman" w:cs="Times New Roman" w:eastAsia="Times New Roman" w:hAnsi="Times New Roman"/>
          <w:sz w:val="22"/>
          <w:szCs w:val="22"/>
          <w:color w:val="auto"/>
        </w:rPr>
        <w:t>. If the Option granted to Participant herein is an ISO, and if Participant sells or otherwise disposes of any of the Shares acquired pursuant to the ISO on or before the later of</w:t>
      </w:r>
    </w:p>
    <w:p>
      <w:pPr>
        <w:spacing w:after="0" w:line="1" w:lineRule="exact"/>
        <w:rPr>
          <w:rFonts w:ascii="Times New Roman" w:cs="Times New Roman" w:eastAsia="Times New Roman" w:hAnsi="Times New Roman"/>
          <w:sz w:val="22"/>
          <w:szCs w:val="22"/>
          <w:color w:val="auto"/>
        </w:rPr>
      </w:pPr>
    </w:p>
    <w:p>
      <w:pPr>
        <w:jc w:val="both"/>
        <w:ind w:firstLine="8"/>
        <w:spacing w:after="0" w:line="235" w:lineRule="auto"/>
        <w:tabs>
          <w:tab w:leader="none" w:pos="29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7" w:lineRule="exact"/>
        <w:rPr>
          <w:rFonts w:ascii="Times New Roman" w:cs="Times New Roman" w:eastAsia="Times New Roman" w:hAnsi="Times New Roman"/>
          <w:sz w:val="22"/>
          <w:szCs w:val="22"/>
          <w:color w:val="auto"/>
        </w:rPr>
      </w:pPr>
    </w:p>
    <w:p>
      <w:pPr>
        <w:jc w:val="both"/>
        <w:ind w:firstLine="1671"/>
        <w:spacing w:after="0" w:line="246" w:lineRule="auto"/>
        <w:tabs>
          <w:tab w:leader="none" w:pos="2563" w:val="left"/>
        </w:tabs>
        <w:numPr>
          <w:ilvl w:val="2"/>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to be less than the fair market value of an underlying share on the date of grant (a “</w:t>
      </w:r>
      <w:r>
        <w:rPr>
          <w:rFonts w:ascii="Times New Roman" w:cs="Times New Roman" w:eastAsia="Times New Roman" w:hAnsi="Times New Roman"/>
          <w:sz w:val="21"/>
          <w:szCs w:val="21"/>
          <w:u w:val="single" w:color="auto"/>
          <w:color w:val="auto"/>
        </w:rPr>
        <w:t>discount option</w:t>
      </w:r>
      <w:r>
        <w:rPr>
          <w:rFonts w:ascii="Times New Roman" w:cs="Times New Roman" w:eastAsia="Times New Roman" w:hAnsi="Times New Roman"/>
          <w:sz w:val="21"/>
          <w:szCs w:val="21"/>
          <w:color w:val="auto"/>
        </w:rPr>
        <w:t>”) may be considered “deferred compensation.” A stock right that is a “discount option” may result in (i) income recognition by the recipient of the stock right prior to the exercise of the stock right,</w:t>
      </w:r>
    </w:p>
    <w:p>
      <w:pPr>
        <w:spacing w:after="0" w:line="1" w:lineRule="exact"/>
        <w:rPr>
          <w:rFonts w:ascii="Times New Roman" w:cs="Times New Roman" w:eastAsia="Times New Roman" w:hAnsi="Times New Roman"/>
          <w:sz w:val="21"/>
          <w:szCs w:val="21"/>
          <w:color w:val="auto"/>
        </w:rPr>
      </w:pPr>
    </w:p>
    <w:p>
      <w:pPr>
        <w:jc w:val="both"/>
        <w:ind w:firstLine="8"/>
        <w:spacing w:after="0" w:line="243" w:lineRule="auto"/>
        <w:tabs>
          <w:tab w:leader="none" w:pos="321"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78" w:lineRule="exact"/>
        <w:rPr>
          <w:rFonts w:ascii="Times New Roman" w:cs="Times New Roman" w:eastAsia="Times New Roman" w:hAnsi="Times New Roman"/>
          <w:sz w:val="21"/>
          <w:szCs w:val="21"/>
          <w:color w:val="auto"/>
        </w:rPr>
      </w:pPr>
    </w:p>
    <w:p>
      <w:pPr>
        <w:jc w:val="both"/>
        <w:ind w:firstLine="840"/>
        <w:spacing w:after="0" w:line="236" w:lineRule="auto"/>
        <w:tabs>
          <w:tab w:leader="none" w:pos="1642"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rFonts w:ascii="Times New Roman" w:cs="Times New Roman" w:eastAsia="Times New Roman" w:hAnsi="Times New Roman"/>
          <w:sz w:val="22"/>
          <w:szCs w:val="22"/>
          <w:color w:val="auto"/>
        </w:rPr>
      </w:pPr>
    </w:p>
    <w:p>
      <w:pPr>
        <w:jc w:val="both"/>
        <w:ind w:firstLine="840"/>
        <w:spacing w:after="0" w:line="238" w:lineRule="auto"/>
        <w:tabs>
          <w:tab w:leader="none" w:pos="175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Governing Law</w:t>
      </w:r>
      <w:r>
        <w:rPr>
          <w:rFonts w:ascii="Times New Roman" w:cs="Times New Roman" w:eastAsia="Times New Roman" w:hAnsi="Times New Roman"/>
          <w:sz w:val="22"/>
          <w:szCs w:val="22"/>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1" w:name="page342"/>
    <w:bookmarkEnd w:id="341"/>
    <w:p>
      <w:pPr>
        <w:jc w:val="both"/>
        <w:ind w:firstLine="840"/>
        <w:spacing w:after="0" w:line="233" w:lineRule="auto"/>
        <w:tabs>
          <w:tab w:leader="none" w:pos="1742"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spacing w:after="0" w:line="182" w:lineRule="exact"/>
        <w:rPr>
          <w:rFonts w:ascii="Times New Roman" w:cs="Times New Roman" w:eastAsia="Times New Roman" w:hAnsi="Times New Roman"/>
          <w:sz w:val="22"/>
          <w:szCs w:val="22"/>
          <w:color w:val="auto"/>
        </w:rPr>
      </w:pPr>
    </w:p>
    <w:p>
      <w:pPr>
        <w:ind w:left="1760" w:hanging="920"/>
        <w:spacing w:after="0"/>
        <w:tabs>
          <w:tab w:leader="none" w:pos="176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Option, Participant acknowledges, understands and agrees that:</w:t>
      </w:r>
    </w:p>
    <w:p>
      <w:pPr>
        <w:spacing w:after="0" w:line="206" w:lineRule="exact"/>
        <w:rPr>
          <w:rFonts w:ascii="Times New Roman" w:cs="Times New Roman" w:eastAsia="Times New Roman" w:hAnsi="Times New Roman"/>
          <w:sz w:val="22"/>
          <w:szCs w:val="22"/>
          <w:color w:val="auto"/>
        </w:rPr>
      </w:pPr>
    </w:p>
    <w:p>
      <w:pPr>
        <w:ind w:firstLine="1671"/>
        <w:spacing w:after="0" w:line="258" w:lineRule="auto"/>
        <w:tabs>
          <w:tab w:leader="none" w:pos="2551"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is voluntary and occasional and does not create any contractual or other right to receive future grants of options, or benefits in lieu of options, even if options have been granted in the past;</w:t>
      </w:r>
    </w:p>
    <w:p>
      <w:pPr>
        <w:spacing w:after="0" w:line="158"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option or other grants, if any, will be at the sole discretion of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Administrator;</w:t>
      </w:r>
    </w:p>
    <w:p>
      <w:pPr>
        <w:spacing w:after="0" w:line="182" w:lineRule="exact"/>
        <w:rPr>
          <w:rFonts w:ascii="Times New Roman" w:cs="Times New Roman" w:eastAsia="Times New Roman" w:hAnsi="Times New Roman"/>
          <w:sz w:val="21"/>
          <w:szCs w:val="21"/>
          <w:color w:val="auto"/>
        </w:rPr>
      </w:pPr>
    </w:p>
    <w:p>
      <w:pPr>
        <w:ind w:left="2560" w:hanging="889"/>
        <w:spacing w:after="0"/>
        <w:tabs>
          <w:tab w:leader="none" w:pos="256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and any Shares acquired under the Plan are not intended to replace any pension rights or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compensation;</w:t>
      </w:r>
    </w:p>
    <w:p>
      <w:pPr>
        <w:spacing w:after="0" w:line="182" w:lineRule="exact"/>
        <w:rPr>
          <w:rFonts w:ascii="Times New Roman" w:cs="Times New Roman" w:eastAsia="Times New Roman" w:hAnsi="Times New Roman"/>
          <w:sz w:val="21"/>
          <w:szCs w:val="21"/>
          <w:color w:val="auto"/>
        </w:rPr>
      </w:pPr>
    </w:p>
    <w:p>
      <w:pPr>
        <w:jc w:val="both"/>
        <w:ind w:firstLine="1671"/>
        <w:spacing w:after="0" w:line="244" w:lineRule="auto"/>
        <w:tabs>
          <w:tab w:leader="none" w:pos="2551"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3" w:lineRule="exact"/>
        <w:rPr>
          <w:rFonts w:ascii="Times New Roman" w:cs="Times New Roman" w:eastAsia="Times New Roman" w:hAnsi="Times New Roman"/>
          <w:sz w:val="22"/>
          <w:szCs w:val="22"/>
          <w:color w:val="auto"/>
        </w:rPr>
      </w:pPr>
    </w:p>
    <w:p>
      <w:pPr>
        <w:ind w:left="2540" w:hanging="869"/>
        <w:spacing w:after="0"/>
        <w:tabs>
          <w:tab w:leader="none" w:pos="254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Option is unknown, indeterminable, and cannot be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predicted with certainty;</w:t>
      </w:r>
    </w:p>
    <w:p>
      <w:pPr>
        <w:spacing w:after="0" w:line="182"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underlying Shares do not increase in value, the Option will have no value;</w:t>
      </w:r>
    </w:p>
    <w:p>
      <w:pPr>
        <w:spacing w:after="0" w:line="206" w:lineRule="exact"/>
        <w:rPr>
          <w:rFonts w:ascii="Times New Roman" w:cs="Times New Roman" w:eastAsia="Times New Roman" w:hAnsi="Times New Roman"/>
          <w:sz w:val="22"/>
          <w:szCs w:val="22"/>
          <w:color w:val="auto"/>
        </w:rPr>
      </w:pPr>
    </w:p>
    <w:p>
      <w:pPr>
        <w:ind w:firstLine="1671"/>
        <w:spacing w:after="0" w:line="258" w:lineRule="auto"/>
        <w:tabs>
          <w:tab w:leader="none" w:pos="2563"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exercises the Option and acquires Shares, the value of such Shares may increase or decrease in value, even below the Exercise Price;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2" w:name="page343"/>
    <w:bookmarkEnd w:id="342"/>
    <w:p>
      <w:pPr>
        <w:jc w:val="both"/>
        <w:ind w:firstLine="1671"/>
        <w:spacing w:after="0" w:line="244" w:lineRule="auto"/>
        <w:tabs>
          <w:tab w:leader="none" w:pos="2515"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p>
    <w:p>
      <w:pPr>
        <w:spacing w:after="0" w:line="178" w:lineRule="exact"/>
        <w:rPr>
          <w:rFonts w:ascii="Times New Roman" w:cs="Times New Roman" w:eastAsia="Times New Roman" w:hAnsi="Times New Roman"/>
          <w:sz w:val="21"/>
          <w:szCs w:val="21"/>
          <w:color w:val="auto"/>
        </w:rPr>
      </w:pPr>
    </w:p>
    <w:p>
      <w:pPr>
        <w:jc w:val="both"/>
        <w:ind w:firstLine="1671"/>
        <w:spacing w:after="0" w:line="239" w:lineRule="auto"/>
        <w:tabs>
          <w:tab w:leader="none" w:pos="251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rFonts w:ascii="Times New Roman" w:cs="Times New Roman" w:eastAsia="Times New Roman" w:hAnsi="Times New Roman"/>
          <w:sz w:val="22"/>
          <w:szCs w:val="22"/>
          <w:color w:val="auto"/>
        </w:rPr>
      </w:pPr>
    </w:p>
    <w:p>
      <w:pPr>
        <w:ind w:left="4000" w:hanging="1496"/>
        <w:spacing w:after="0"/>
        <w:tabs>
          <w:tab w:leader="none" w:pos="4000"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the Shares subject to the Option are not part of normal or expected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or salary for any purpose;</w:t>
      </w:r>
    </w:p>
    <w:p>
      <w:pPr>
        <w:spacing w:after="0" w:line="182" w:lineRule="exact"/>
        <w:rPr>
          <w:rFonts w:ascii="Times New Roman" w:cs="Times New Roman" w:eastAsia="Times New Roman" w:hAnsi="Times New Roman"/>
          <w:sz w:val="22"/>
          <w:szCs w:val="22"/>
          <w:color w:val="auto"/>
        </w:rPr>
      </w:pPr>
    </w:p>
    <w:p>
      <w:pPr>
        <w:jc w:val="both"/>
        <w:ind w:firstLine="2504"/>
        <w:spacing w:after="0" w:line="239" w:lineRule="auto"/>
        <w:tabs>
          <w:tab w:leader="none" w:pos="4055"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80" w:lineRule="exact"/>
        <w:rPr>
          <w:rFonts w:ascii="Times New Roman" w:cs="Times New Roman" w:eastAsia="Times New Roman" w:hAnsi="Times New Roman"/>
          <w:sz w:val="22"/>
          <w:szCs w:val="22"/>
          <w:color w:val="auto"/>
        </w:rPr>
      </w:pPr>
    </w:p>
    <w:p>
      <w:pPr>
        <w:jc w:val="both"/>
        <w:ind w:firstLine="2504"/>
        <w:spacing w:after="0" w:line="234" w:lineRule="auto"/>
        <w:tabs>
          <w:tab w:leader="none" w:pos="4115"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3" w:name="page344"/>
    <w:bookmarkEnd w:id="343"/>
    <w:p>
      <w:pPr>
        <w:jc w:val="both"/>
        <w:ind w:firstLine="840"/>
        <w:spacing w:after="0" w:line="239" w:lineRule="auto"/>
        <w:tabs>
          <w:tab w:leader="none" w:pos="175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74" w:lineRule="exact"/>
        <w:rPr>
          <w:rFonts w:ascii="Times New Roman" w:cs="Times New Roman" w:eastAsia="Times New Roman" w:hAnsi="Times New Roman"/>
          <w:sz w:val="22"/>
          <w:szCs w:val="22"/>
          <w:color w:val="auto"/>
        </w:rPr>
      </w:pPr>
    </w:p>
    <w:p>
      <w:pPr>
        <w:jc w:val="both"/>
        <w:ind w:firstLine="840"/>
        <w:spacing w:after="0" w:line="241" w:lineRule="auto"/>
        <w:tabs>
          <w:tab w:leader="none" w:pos="175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Participant hereby explicitly and unambiguously consents to the collection, use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transfer, in 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832"/>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75"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4" w:name="page345"/>
    <w:bookmarkEnd w:id="344"/>
    <w:p>
      <w:pPr>
        <w:jc w:val="both"/>
        <w:ind w:firstLine="840"/>
        <w:spacing w:after="0" w:line="244" w:lineRule="auto"/>
        <w:tabs>
          <w:tab w:leader="none" w:pos="175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Option Agreement will be addressed to the Company at Athira Pharma, Inc., 400 Mason Rd., Suite 300, Seattle, Washington 98195-2141, or at such other address as the Company may hereafter designate in writing.</w:t>
      </w:r>
    </w:p>
    <w:p>
      <w:pPr>
        <w:spacing w:after="0" w:line="173" w:lineRule="exact"/>
        <w:rPr>
          <w:rFonts w:ascii="Times New Roman" w:cs="Times New Roman" w:eastAsia="Times New Roman" w:hAnsi="Times New Roman"/>
          <w:sz w:val="22"/>
          <w:szCs w:val="22"/>
          <w:color w:val="auto"/>
        </w:rPr>
      </w:pPr>
    </w:p>
    <w:p>
      <w:pPr>
        <w:jc w:val="both"/>
        <w:ind w:firstLine="840"/>
        <w:spacing w:after="0" w:line="238" w:lineRule="auto"/>
        <w:tabs>
          <w:tab w:leader="none" w:pos="175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w:t>
      </w:r>
    </w:p>
    <w:p>
      <w:pPr>
        <w:spacing w:after="0" w:line="176" w:lineRule="exact"/>
        <w:rPr>
          <w:rFonts w:ascii="Times New Roman" w:cs="Times New Roman" w:eastAsia="Times New Roman" w:hAnsi="Times New Roman"/>
          <w:sz w:val="22"/>
          <w:szCs w:val="22"/>
          <w:color w:val="auto"/>
        </w:rPr>
      </w:pPr>
    </w:p>
    <w:p>
      <w:pPr>
        <w:jc w:val="both"/>
        <w:ind w:firstLine="840"/>
        <w:spacing w:after="0" w:line="233" w:lineRule="auto"/>
        <w:tabs>
          <w:tab w:leader="none" w:pos="175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84" w:lineRule="exact"/>
        <w:rPr>
          <w:rFonts w:ascii="Times New Roman" w:cs="Times New Roman" w:eastAsia="Times New Roman" w:hAnsi="Times New Roman"/>
          <w:sz w:val="22"/>
          <w:szCs w:val="22"/>
          <w:color w:val="auto"/>
        </w:rPr>
      </w:pPr>
    </w:p>
    <w:p>
      <w:pPr>
        <w:jc w:val="both"/>
        <w:ind w:right="20" w:firstLine="840"/>
        <w:spacing w:after="0" w:line="244" w:lineRule="auto"/>
        <w:tabs>
          <w:tab w:leader="none" w:pos="175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firstLine="840"/>
        <w:spacing w:after="0" w:line="235" w:lineRule="auto"/>
        <w:tabs>
          <w:tab w:leader="none" w:pos="175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83" w:lineRule="exact"/>
        <w:rPr>
          <w:rFonts w:ascii="Times New Roman" w:cs="Times New Roman" w:eastAsia="Times New Roman" w:hAnsi="Times New Roman"/>
          <w:sz w:val="22"/>
          <w:szCs w:val="22"/>
          <w:color w:val="auto"/>
        </w:rPr>
      </w:pPr>
    </w:p>
    <w:p>
      <w:pPr>
        <w:jc w:val="both"/>
        <w:ind w:firstLine="840"/>
        <w:spacing w:after="0" w:line="238" w:lineRule="auto"/>
        <w:tabs>
          <w:tab w:leader="none" w:pos="175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5" w:name="page346"/>
    <w:bookmarkEnd w:id="345"/>
    <w:p>
      <w:pPr>
        <w:ind w:firstLine="840"/>
        <w:spacing w:after="0" w:line="258" w:lineRule="auto"/>
        <w:tabs>
          <w:tab w:leader="none" w:pos="175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Option Agreement.</w:t>
      </w:r>
    </w:p>
    <w:p>
      <w:pPr>
        <w:spacing w:after="0" w:line="158" w:lineRule="exact"/>
        <w:rPr>
          <w:rFonts w:ascii="Times New Roman" w:cs="Times New Roman" w:eastAsia="Times New Roman" w:hAnsi="Times New Roman"/>
          <w:sz w:val="22"/>
          <w:szCs w:val="22"/>
          <w:color w:val="auto"/>
        </w:rPr>
      </w:pPr>
    </w:p>
    <w:p>
      <w:pPr>
        <w:jc w:val="both"/>
        <w:ind w:firstLine="840"/>
        <w:spacing w:after="0" w:line="244" w:lineRule="auto"/>
        <w:tabs>
          <w:tab w:leader="none" w:pos="175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Agreement Severable</w:t>
      </w:r>
      <w:r>
        <w:rPr>
          <w:rFonts w:ascii="Times New Roman" w:cs="Times New Roman" w:eastAsia="Times New Roman" w:hAnsi="Times New Roman"/>
          <w:sz w:val="22"/>
          <w:szCs w:val="22"/>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73" w:lineRule="exact"/>
        <w:rPr>
          <w:rFonts w:ascii="Times New Roman" w:cs="Times New Roman" w:eastAsia="Times New Roman" w:hAnsi="Times New Roman"/>
          <w:sz w:val="22"/>
          <w:szCs w:val="22"/>
          <w:color w:val="auto"/>
        </w:rPr>
      </w:pPr>
    </w:p>
    <w:p>
      <w:pPr>
        <w:jc w:val="both"/>
        <w:ind w:firstLine="840"/>
        <w:spacing w:after="0" w:line="239" w:lineRule="auto"/>
        <w:tabs>
          <w:tab w:leader="none" w:pos="175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rFonts w:ascii="Times New Roman" w:cs="Times New Roman" w:eastAsia="Times New Roman" w:hAnsi="Times New Roman"/>
          <w:sz w:val="22"/>
          <w:szCs w:val="22"/>
          <w:color w:val="auto"/>
        </w:rPr>
      </w:pPr>
    </w:p>
    <w:p>
      <w:pPr>
        <w:jc w:val="both"/>
        <w:ind w:firstLine="840"/>
        <w:spacing w:after="0" w:line="235" w:lineRule="auto"/>
        <w:tabs>
          <w:tab w:leader="none" w:pos="175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cs="Times New Roman" w:eastAsia="Times New Roman" w:hAnsi="Times New Roman"/>
          <w:sz w:val="22"/>
          <w:szCs w:val="22"/>
          <w:u w:val="single" w:color="auto"/>
          <w:color w:val="auto"/>
        </w:rPr>
        <w:t>Country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83" w:lineRule="exact"/>
        <w:rPr>
          <w:rFonts w:ascii="Times New Roman" w:cs="Times New Roman" w:eastAsia="Times New Roman" w:hAnsi="Times New Roman"/>
          <w:sz w:val="22"/>
          <w:szCs w:val="22"/>
          <w:color w:val="auto"/>
        </w:rPr>
      </w:pPr>
    </w:p>
    <w:p>
      <w:pPr>
        <w:jc w:val="both"/>
        <w:ind w:firstLine="840"/>
        <w:spacing w:after="0" w:line="235" w:lineRule="auto"/>
        <w:tabs>
          <w:tab w:leader="none" w:pos="175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Option Agreement</w:t>
      </w:r>
      <w:r>
        <w:rPr>
          <w:rFonts w:ascii="Times New Roman" w:cs="Times New Roman" w:eastAsia="Times New Roman" w:hAnsi="Times New Roman"/>
          <w:sz w:val="22"/>
          <w:szCs w:val="22"/>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78" w:lineRule="exact"/>
        <w:rPr>
          <w:rFonts w:ascii="Times New Roman" w:cs="Times New Roman" w:eastAsia="Times New Roman" w:hAnsi="Times New Roman"/>
          <w:sz w:val="22"/>
          <w:szCs w:val="22"/>
          <w:color w:val="auto"/>
        </w:rPr>
      </w:pPr>
    </w:p>
    <w:p>
      <w:pPr>
        <w:jc w:val="both"/>
        <w:ind w:firstLine="840"/>
        <w:spacing w:after="0" w:line="239" w:lineRule="auto"/>
        <w:tabs>
          <w:tab w:leader="none" w:pos="175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80" w:lineRule="exact"/>
        <w:rPr>
          <w:rFonts w:ascii="Times New Roman" w:cs="Times New Roman" w:eastAsia="Times New Roman" w:hAnsi="Times New Roman"/>
          <w:sz w:val="22"/>
          <w:szCs w:val="22"/>
          <w:color w:val="auto"/>
        </w:rPr>
      </w:pPr>
    </w:p>
    <w:p>
      <w:pPr>
        <w:jc w:val="both"/>
        <w:ind w:firstLine="840"/>
        <w:spacing w:after="0" w:line="238" w:lineRule="auto"/>
        <w:tabs>
          <w:tab w:leader="none" w:pos="175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76"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EXERCISE NOTICE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14" w:lineRule="exact"/>
        <w:rPr>
          <w:sz w:val="20"/>
          <w:szCs w:val="20"/>
          <w:color w:val="auto"/>
        </w:rPr>
      </w:pPr>
    </w:p>
    <w:p>
      <w:pPr>
        <w:ind w:left="720" w:hanging="712"/>
        <w:spacing w:after="0"/>
        <w:tabs>
          <w:tab w:leader="none" w:pos="72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[Finance Department]</w:t>
      </w:r>
    </w:p>
    <w:p>
      <w:pPr>
        <w:spacing w:after="0" w:line="206" w:lineRule="exact"/>
        <w:rPr>
          <w:sz w:val="20"/>
          <w:szCs w:val="20"/>
          <w:color w:val="auto"/>
        </w:rPr>
      </w:pPr>
    </w:p>
    <w:p>
      <w:pPr>
        <w:jc w:val="both"/>
        <w:ind w:firstLine="840"/>
        <w:spacing w:after="0" w:line="248" w:lineRule="auto"/>
        <w:tabs>
          <w:tab w:leader="none" w:pos="1642"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 Effective as of today, ________________, ____, the undersigned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hereby elects to exercise Participant’s option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purchase ________________ shares of the Common Stock (the “Shares”) of Athira Pharma,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under and pursuant to the 2020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and the Stock Option Agreement dated ______________, _____, including the Notice of Stock Option Grant, and the Terms and Conditions of Stock Option Grant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thereto and other exhibits, appendices and addenda attached thereto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170" w:lineRule="exact"/>
        <w:rPr>
          <w:rFonts w:ascii="Times New Roman" w:cs="Times New Roman" w:eastAsia="Times New Roman" w:hAnsi="Times New Roman"/>
          <w:sz w:val="21"/>
          <w:szCs w:val="21"/>
          <w:color w:val="auto"/>
        </w:rPr>
      </w:pPr>
    </w:p>
    <w:p>
      <w:pPr>
        <w:ind w:firstLine="840"/>
        <w:spacing w:after="0" w:line="258" w:lineRule="auto"/>
        <w:tabs>
          <w:tab w:leader="none" w:pos="164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Payment</w:t>
      </w:r>
      <w:r>
        <w:rPr>
          <w:rFonts w:ascii="Times New Roman" w:cs="Times New Roman" w:eastAsia="Times New Roman" w:hAnsi="Times New Roman"/>
          <w:sz w:val="22"/>
          <w:szCs w:val="22"/>
          <w:color w:val="auto"/>
        </w:rPr>
        <w:t>. Participant herewith delivers to the Company the full purchase price of the Shares, as set forth in the Option Agreement, and any Tax Obligations to be paid in connection with the exercise of the Option.</w:t>
      </w:r>
    </w:p>
    <w:p>
      <w:pPr>
        <w:spacing w:after="0" w:line="158" w:lineRule="exact"/>
        <w:rPr>
          <w:rFonts w:ascii="Times New Roman" w:cs="Times New Roman" w:eastAsia="Times New Roman" w:hAnsi="Times New Roman"/>
          <w:sz w:val="22"/>
          <w:szCs w:val="22"/>
          <w:color w:val="auto"/>
        </w:rPr>
      </w:pPr>
    </w:p>
    <w:p>
      <w:pPr>
        <w:ind w:firstLine="840"/>
        <w:spacing w:after="0" w:line="258" w:lineRule="auto"/>
        <w:tabs>
          <w:tab w:leader="none" w:pos="164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Participant</w:t>
      </w:r>
      <w:r>
        <w:rPr>
          <w:rFonts w:ascii="Times New Roman" w:cs="Times New Roman" w:eastAsia="Times New Roman" w:hAnsi="Times New Roman"/>
          <w:sz w:val="22"/>
          <w:szCs w:val="22"/>
          <w:color w:val="auto"/>
        </w:rPr>
        <w:t>. Participant acknowledges that Participant has received, read and understood the Plan and the Option Agreement and agrees to abide by and be bound by their terms and conditions.</w:t>
      </w:r>
    </w:p>
    <w:p>
      <w:pPr>
        <w:spacing w:after="0" w:line="158" w:lineRule="exact"/>
        <w:rPr>
          <w:rFonts w:ascii="Times New Roman" w:cs="Times New Roman" w:eastAsia="Times New Roman" w:hAnsi="Times New Roman"/>
          <w:sz w:val="22"/>
          <w:szCs w:val="22"/>
          <w:color w:val="auto"/>
        </w:rPr>
      </w:pPr>
    </w:p>
    <w:p>
      <w:pPr>
        <w:jc w:val="both"/>
        <w:ind w:firstLine="840"/>
        <w:spacing w:after="0" w:line="236" w:lineRule="auto"/>
        <w:tabs>
          <w:tab w:leader="none" w:pos="164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15 of the Plan.</w:t>
      </w:r>
    </w:p>
    <w:p>
      <w:pPr>
        <w:spacing w:after="0" w:line="181" w:lineRule="exact"/>
        <w:rPr>
          <w:rFonts w:ascii="Times New Roman" w:cs="Times New Roman" w:eastAsia="Times New Roman" w:hAnsi="Times New Roman"/>
          <w:sz w:val="22"/>
          <w:szCs w:val="22"/>
          <w:color w:val="auto"/>
        </w:rPr>
      </w:pPr>
    </w:p>
    <w:p>
      <w:pPr>
        <w:jc w:val="both"/>
        <w:ind w:firstLine="840"/>
        <w:spacing w:after="0" w:line="239" w:lineRule="auto"/>
        <w:tabs>
          <w:tab w:leader="none" w:pos="164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Consultation</w:t>
      </w:r>
      <w:r>
        <w:rPr>
          <w:rFonts w:ascii="Times New Roman" w:cs="Times New Roman" w:eastAsia="Times New Roman" w:hAnsi="Times New Roman"/>
          <w:sz w:val="22"/>
          <w:szCs w:val="22"/>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4946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7" w:name="page348"/>
    <w:bookmarkEnd w:id="347"/>
    <w:p>
      <w:pPr>
        <w:jc w:val="both"/>
        <w:ind w:right="20" w:firstLine="840"/>
        <w:spacing w:after="0" w:line="239" w:lineRule="auto"/>
        <w:tabs>
          <w:tab w:leader="none" w:pos="164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80" w:lineRule="exact"/>
        <w:rPr>
          <w:rFonts w:ascii="Times New Roman" w:cs="Times New Roman" w:eastAsia="Times New Roman" w:hAnsi="Times New Roman"/>
          <w:sz w:val="22"/>
          <w:szCs w:val="22"/>
          <w:color w:val="auto"/>
        </w:rPr>
      </w:pPr>
    </w:p>
    <w:p>
      <w:pPr>
        <w:jc w:val="both"/>
        <w:ind w:right="20" w:firstLine="840"/>
        <w:spacing w:after="0" w:line="244" w:lineRule="auto"/>
        <w:tabs>
          <w:tab w:leader="none" w:pos="164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73" w:lineRule="exact"/>
        <w:rPr>
          <w:rFonts w:ascii="Times New Roman" w:cs="Times New Roman" w:eastAsia="Times New Roman" w:hAnsi="Times New Roman"/>
          <w:sz w:val="22"/>
          <w:szCs w:val="22"/>
          <w:color w:val="auto"/>
        </w:rPr>
      </w:pPr>
    </w:p>
    <w:p>
      <w:pPr>
        <w:jc w:val="both"/>
        <w:ind w:right="20" w:firstLine="840"/>
        <w:spacing w:after="0" w:line="236" w:lineRule="auto"/>
        <w:tabs>
          <w:tab w:leader="none" w:pos="164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80" w:type="dxa"/>
            <w:vAlign w:val="bottom"/>
          </w:tcPr>
          <w:p>
            <w:pPr>
              <w:spacing w:after="0"/>
              <w:rPr>
                <w:sz w:val="20"/>
                <w:szCs w:val="20"/>
                <w:color w:val="auto"/>
              </w:rPr>
            </w:pPr>
            <w:r>
              <w:rPr>
                <w:rFonts w:ascii="Times New Roman" w:cs="Times New Roman" w:eastAsia="Times New Roman" w:hAnsi="Times New Roman"/>
                <w:sz w:val="22"/>
                <w:szCs w:val="22"/>
                <w:color w:val="auto"/>
              </w:rPr>
              <w:t>Submitted by:</w:t>
            </w:r>
          </w:p>
        </w:tc>
        <w:tc>
          <w:tcPr>
            <w:tcW w:w="112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2"/>
                <w:szCs w:val="22"/>
                <w:color w:val="auto"/>
              </w:rPr>
              <w:t>Accepted by:</w:t>
            </w:r>
          </w:p>
        </w:tc>
        <w:tc>
          <w:tcPr>
            <w:tcW w:w="20" w:type="dxa"/>
            <w:vAlign w:val="bottom"/>
          </w:tcPr>
          <w:p>
            <w:pPr>
              <w:spacing w:after="0"/>
              <w:rPr>
                <w:sz w:val="22"/>
                <w:szCs w:val="22"/>
                <w:color w:val="auto"/>
              </w:rPr>
            </w:pPr>
          </w:p>
        </w:tc>
      </w:tr>
      <w:tr>
        <w:trPr>
          <w:trHeight w:val="282"/>
        </w:trPr>
        <w:tc>
          <w:tcPr>
            <w:tcW w:w="5080" w:type="dxa"/>
            <w:vAlign w:val="bottom"/>
          </w:tcPr>
          <w:p>
            <w:pPr>
              <w:spacing w:after="0"/>
              <w:rPr>
                <w:sz w:val="20"/>
                <w:szCs w:val="20"/>
                <w:color w:val="auto"/>
              </w:rPr>
            </w:pPr>
            <w:r>
              <w:rPr>
                <w:rFonts w:ascii="Times New Roman" w:cs="Times New Roman" w:eastAsia="Times New Roman" w:hAnsi="Times New Roman"/>
                <w:sz w:val="22"/>
                <w:szCs w:val="22"/>
                <w:color w:val="auto"/>
              </w:rPr>
              <w:t>PARTICIPANT</w:t>
            </w:r>
          </w:p>
        </w:tc>
        <w:tc>
          <w:tcPr>
            <w:tcW w:w="1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2"/>
                <w:szCs w:val="22"/>
                <w:color w:val="auto"/>
              </w:rPr>
              <w:t>ATHIRA PHARMA, INC.</w:t>
            </w:r>
          </w:p>
        </w:tc>
        <w:tc>
          <w:tcPr>
            <w:tcW w:w="20" w:type="dxa"/>
            <w:vAlign w:val="bottom"/>
          </w:tcPr>
          <w:p>
            <w:pPr>
              <w:spacing w:after="0"/>
              <w:rPr>
                <w:sz w:val="24"/>
                <w:szCs w:val="24"/>
                <w:color w:val="auto"/>
              </w:rPr>
            </w:pPr>
          </w:p>
        </w:tc>
      </w:tr>
      <w:tr>
        <w:trPr>
          <w:trHeight w:val="420"/>
        </w:trPr>
        <w:tc>
          <w:tcPr>
            <w:tcW w:w="50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9"/>
                <w:szCs w:val="19"/>
                <w:color w:val="auto"/>
              </w:rPr>
            </w:pPr>
          </w:p>
        </w:tc>
      </w:tr>
      <w:tr>
        <w:trPr>
          <w:trHeight w:val="198"/>
        </w:trPr>
        <w:tc>
          <w:tcPr>
            <w:tcW w:w="508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11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0" w:type="dxa"/>
            <w:vAlign w:val="bottom"/>
          </w:tcPr>
          <w:p>
            <w:pPr>
              <w:spacing w:after="0"/>
              <w:rPr>
                <w:sz w:val="19"/>
                <w:szCs w:val="19"/>
                <w:color w:val="auto"/>
              </w:rPr>
            </w:pPr>
          </w:p>
        </w:tc>
      </w:tr>
      <w:tr>
        <w:trPr>
          <w:trHeight w:val="198"/>
        </w:trPr>
        <w:tc>
          <w:tcPr>
            <w:tcW w:w="5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5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19"/>
                <w:szCs w:val="19"/>
                <w:color w:val="auto"/>
              </w:rPr>
            </w:pPr>
          </w:p>
        </w:tc>
      </w:tr>
      <w:tr>
        <w:trPr>
          <w:trHeight w:val="453"/>
        </w:trPr>
        <w:tc>
          <w:tcPr>
            <w:tcW w:w="508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1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20" w:type="dxa"/>
            <w:vAlign w:val="bottom"/>
          </w:tcPr>
          <w:p>
            <w:pPr>
              <w:spacing w:after="0"/>
              <w:rPr>
                <w:sz w:val="24"/>
                <w:szCs w:val="24"/>
                <w:color w:val="auto"/>
              </w:rPr>
            </w:pPr>
          </w:p>
        </w:tc>
      </w:tr>
      <w:tr>
        <w:trPr>
          <w:trHeight w:val="204"/>
        </w:trPr>
        <w:tc>
          <w:tcPr>
            <w:tcW w:w="508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508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5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Received</w:t>
            </w:r>
          </w:p>
        </w:tc>
        <w:tc>
          <w:tcPr>
            <w:tcW w:w="20" w:type="dxa"/>
            <w:vAlign w:val="bottom"/>
          </w:tcPr>
          <w:p>
            <w:pPr>
              <w:spacing w:after="0"/>
              <w:rPr>
                <w:sz w:val="19"/>
                <w:szCs w:val="19"/>
                <w:color w:val="auto"/>
              </w:rPr>
            </w:pPr>
          </w:p>
        </w:tc>
      </w:tr>
      <w:tr>
        <w:trPr>
          <w:trHeight w:val="1101"/>
        </w:trPr>
        <w:tc>
          <w:tcPr>
            <w:tcW w:w="508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w:t>
            </w: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50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348" w:name="page349"/>
    <w:bookmarkEnd w:id="34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COUNTRY ADDENDUM TO STOCK OPTION AGREEMENT</w:t>
      </w:r>
    </w:p>
    <w:p>
      <w:pPr>
        <w:spacing w:after="0" w:line="210"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Stock Option Agreement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will be ascribed the same defined meanings as set forth in the Option Agreement of which this Country Addendum forms a part (or the Plan or other written agreement as specified in the Option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832"/>
        <w:spacing w:after="0" w:line="238"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832"/>
        <w:spacing w:after="0" w:line="238" w:lineRule="auto"/>
        <w:rPr>
          <w:sz w:val="20"/>
          <w:szCs w:val="20"/>
          <w:color w:val="auto"/>
        </w:rPr>
      </w:pPr>
      <w:r>
        <w:rPr>
          <w:rFonts w:ascii="Times New Roman" w:cs="Times New Roman" w:eastAsia="Times New Roman" w:hAnsi="Times New Roman"/>
          <w:sz w:val="22"/>
          <w:szCs w:val="22"/>
          <w:color w:val="auto"/>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2020. Such Applicable Laws often are</w:t>
      </w:r>
    </w:p>
    <w:p>
      <w:pPr>
        <w:jc w:val="both"/>
        <w:spacing w:after="0" w:line="234" w:lineRule="auto"/>
        <w:rPr>
          <w:sz w:val="20"/>
          <w:szCs w:val="20"/>
          <w:color w:val="auto"/>
        </w:rPr>
      </w:pPr>
      <w:r>
        <w:rPr>
          <w:rFonts w:ascii="Times New Roman" w:cs="Times New Roman" w:eastAsia="Times New Roman" w:hAnsi="Times New Roman"/>
          <w:sz w:val="22"/>
          <w:szCs w:val="22"/>
          <w:color w:val="auto"/>
        </w:rPr>
        <w:t>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spacing w:after="0" w:line="177" w:lineRule="exact"/>
        <w:rPr>
          <w:sz w:val="20"/>
          <w:szCs w:val="20"/>
          <w:color w:val="auto"/>
        </w:rPr>
      </w:pPr>
    </w:p>
    <w:p>
      <w:pPr>
        <w:jc w:val="both"/>
        <w:ind w:firstLine="832"/>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832"/>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sectPr>
          <w:pgSz w:w="11900" w:h="16838" w:orient="portrait"/>
          <w:cols w:equalWidth="0" w:num="1">
            <w:col w:w="11240"/>
          </w:cols>
          <w:pgMar w:left="320" w:top="324" w:right="33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GRANT</w:t>
      </w:r>
    </w:p>
    <w:p>
      <w:pPr>
        <w:spacing w:after="0" w:line="21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Unless otherwise defined herein, the terms defined in the Athira Pharma, Inc. 2020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Award Agreement which includes the Notice of Restricted Stock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Award of Shares of Restricted Stock, subject to the terms and conditions of the Plan and this Award Agreement, as follows: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10795</wp:posOffset>
            </wp:positionV>
            <wp:extent cx="260604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10795</wp:posOffset>
            </wp:positionV>
            <wp:extent cx="260604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10795</wp:posOffset>
            </wp:positionV>
            <wp:extent cx="260604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Total Number of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10795</wp:posOffset>
            </wp:positionV>
            <wp:extent cx="260604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u w:val="single" w:color="auto"/>
          <w:color w:val="auto"/>
        </w:rPr>
        <w:t>Vesting Schedule:</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Quarterly Vesting Dates</w:t>
      </w:r>
      <w:r>
        <w:rPr>
          <w:rFonts w:ascii="Times New Roman" w:cs="Times New Roman" w:eastAsia="Times New Roman" w:hAnsi="Times New Roman"/>
          <w:sz w:val="22"/>
          <w:szCs w:val="22"/>
          <w:color w:val="auto"/>
        </w:rPr>
        <w:t>” 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p>
    <w:p>
      <w:pPr>
        <w:spacing w:after="0" w:line="18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Award Agreement, or any other written agreement between Participant and the Company (or any Parent or Subsidiary of the Company, as applicable) governing the terms of this Award, the Shares of Restricted Stock will be scheduled to vest and the Company’s right to reacquire the Restricted Stock will be scheduled to lapse in accordance with the following schedule:</w:t>
      </w:r>
    </w:p>
    <w:p>
      <w:pPr>
        <w:spacing w:after="0" w:line="180" w:lineRule="exact"/>
        <w:rPr>
          <w:sz w:val="20"/>
          <w:szCs w:val="20"/>
          <w:color w:val="auto"/>
        </w:rPr>
      </w:pPr>
    </w:p>
    <w:p>
      <w:pPr>
        <w:ind w:left="1160" w:hanging="288"/>
        <w:spacing w:after="0"/>
        <w:tabs>
          <w:tab w:leader="none" w:pos="116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946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0" w:name="page351"/>
    <w:bookmarkEnd w:id="350"/>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Award of Restricted Stock is granted under and governed by the terms and conditions of the Plan and this Award Agreement, including the Terms and Conditions of Restricted Stock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400" w:type="dxa"/>
            <w:vAlign w:val="bottom"/>
          </w:tcPr>
          <w:p>
            <w:pPr>
              <w:spacing w:after="0"/>
              <w:rPr>
                <w:sz w:val="20"/>
                <w:szCs w:val="20"/>
                <w:color w:val="auto"/>
              </w:rPr>
            </w:pPr>
            <w:r>
              <w:rPr>
                <w:rFonts w:ascii="Times New Roman" w:cs="Times New Roman" w:eastAsia="Times New Roman" w:hAnsi="Times New Roman"/>
                <w:sz w:val="22"/>
                <w:szCs w:val="22"/>
                <w:color w:val="auto"/>
              </w:rPr>
              <w:t>PARTICIPANT</w:t>
            </w:r>
          </w:p>
        </w:tc>
        <w:tc>
          <w:tcPr>
            <w:tcW w:w="46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2"/>
                <w:szCs w:val="22"/>
                <w:color w:val="auto"/>
              </w:rPr>
              <w:t>ATHIRA PHARMA, INC.</w:t>
            </w:r>
          </w:p>
        </w:tc>
      </w:tr>
      <w:tr>
        <w:trPr>
          <w:trHeight w:val="420"/>
        </w:trPr>
        <w:tc>
          <w:tcPr>
            <w:tcW w:w="54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r>
      <w:tr>
        <w:trPr>
          <w:trHeight w:val="198"/>
        </w:trPr>
        <w:tc>
          <w:tcPr>
            <w:tcW w:w="540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4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198"/>
        </w:trPr>
        <w:tc>
          <w:tcPr>
            <w:tcW w:w="5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r>
      <w:tr>
        <w:trPr>
          <w:trHeight w:val="228"/>
        </w:trPr>
        <w:tc>
          <w:tcPr>
            <w:tcW w:w="5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669"/>
        </w:trPr>
        <w:tc>
          <w:tcPr>
            <w:tcW w:w="5400" w:type="dxa"/>
            <w:vAlign w:val="bottom"/>
          </w:tcPr>
          <w:p>
            <w:pPr>
              <w:spacing w:after="0"/>
              <w:rPr>
                <w:sz w:val="20"/>
                <w:szCs w:val="20"/>
                <w:color w:val="auto"/>
              </w:rPr>
            </w:pPr>
            <w:r>
              <w:rPr>
                <w:rFonts w:ascii="Times New Roman" w:cs="Times New Roman" w:eastAsia="Times New Roman" w:hAnsi="Times New Roman"/>
                <w:sz w:val="22"/>
                <w:szCs w:val="22"/>
                <w:color w:val="auto"/>
              </w:rPr>
              <w:t>Residence Address:</w:t>
            </w: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20"/>
        </w:trPr>
        <w:tc>
          <w:tcPr>
            <w:tcW w:w="54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26"/>
        </w:trPr>
        <w:tc>
          <w:tcPr>
            <w:tcW w:w="54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1" w:name="page352"/>
    <w:bookmarkEnd w:id="351"/>
    <w:p>
      <w:pPr>
        <w:ind w:left="42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20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GRANT</w:t>
      </w:r>
    </w:p>
    <w:p>
      <w:pPr>
        <w:spacing w:after="0" w:line="210" w:lineRule="exact"/>
        <w:rPr>
          <w:sz w:val="20"/>
          <w:szCs w:val="20"/>
          <w:color w:val="auto"/>
        </w:rPr>
      </w:pPr>
    </w:p>
    <w:p>
      <w:pPr>
        <w:jc w:val="both"/>
        <w:ind w:left="-840" w:firstLine="840"/>
        <w:spacing w:after="0" w:line="238" w:lineRule="auto"/>
        <w:tabs>
          <w:tab w:leader="none" w:pos="80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Shares of Restricted Stock</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under the Plan an Award of Shares of Restricted Stock,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6" w:lineRule="exact"/>
        <w:rPr>
          <w:rFonts w:ascii="Times New Roman" w:cs="Times New Roman" w:eastAsia="Times New Roman" w:hAnsi="Times New Roman"/>
          <w:sz w:val="22"/>
          <w:szCs w:val="22"/>
          <w:color w:val="auto"/>
        </w:rPr>
      </w:pPr>
    </w:p>
    <w:p>
      <w:pPr>
        <w:jc w:val="both"/>
        <w:ind w:left="-840" w:firstLine="840"/>
        <w:spacing w:after="0" w:line="235" w:lineRule="auto"/>
        <w:tabs>
          <w:tab w:leader="none" w:pos="80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and subject to Sections 4 and 6, the Shares of Restricted Stock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governing the terms of this Award,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3" w:lineRule="exact"/>
        <w:rPr>
          <w:rFonts w:ascii="Times New Roman" w:cs="Times New Roman" w:eastAsia="Times New Roman" w:hAnsi="Times New Roman"/>
          <w:sz w:val="22"/>
          <w:szCs w:val="22"/>
          <w:color w:val="auto"/>
        </w:rPr>
      </w:pPr>
    </w:p>
    <w:p>
      <w:pPr>
        <w:jc w:val="both"/>
        <w:ind w:left="-840" w:firstLine="840"/>
        <w:spacing w:after="0" w:line="239" w:lineRule="auto"/>
        <w:tabs>
          <w:tab w:leader="none" w:pos="80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spacing w:after="0" w:line="180" w:lineRule="exact"/>
        <w:rPr>
          <w:rFonts w:ascii="Times New Roman" w:cs="Times New Roman" w:eastAsia="Times New Roman" w:hAnsi="Times New Roman"/>
          <w:sz w:val="22"/>
          <w:szCs w:val="22"/>
          <w:color w:val="auto"/>
        </w:rPr>
      </w:pPr>
    </w:p>
    <w:p>
      <w:pPr>
        <w:jc w:val="both"/>
        <w:ind w:left="-840" w:firstLine="840"/>
        <w:spacing w:after="0" w:line="233" w:lineRule="auto"/>
        <w:tabs>
          <w:tab w:leader="none" w:pos="80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 Agreement or other written agreement between Participant and the Company or any Parent or Subsidiary of the Company, as applicable, governing the terms of this Award,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(as defined below)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290830</wp:posOffset>
            </wp:positionV>
            <wp:extent cx="714946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324" w:right="339" w:bottom="1440" w:gutter="0" w:footer="0" w:header="0"/>
        </w:sectPr>
      </w:pPr>
    </w:p>
    <w:bookmarkStart w:id="352" w:name="page353"/>
    <w:bookmarkEnd w:id="352"/>
    <w:p>
      <w:pPr>
        <w:jc w:val="both"/>
        <w:ind w:left="-840" w:firstLine="840"/>
        <w:spacing w:after="0" w:line="238" w:lineRule="auto"/>
        <w:tabs>
          <w:tab w:leader="none" w:pos="802"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6" w:lineRule="exact"/>
        <w:rPr>
          <w:rFonts w:ascii="Times New Roman" w:cs="Times New Roman" w:eastAsia="Times New Roman" w:hAnsi="Times New Roman"/>
          <w:sz w:val="22"/>
          <w:szCs w:val="22"/>
          <w:color w:val="auto"/>
        </w:rPr>
      </w:pPr>
    </w:p>
    <w:p>
      <w:pPr>
        <w:ind w:left="820" w:hanging="820"/>
        <w:spacing w:after="0"/>
        <w:tabs>
          <w:tab w:leader="none" w:pos="82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06" w:lineRule="exact"/>
        <w:rPr>
          <w:rFonts w:ascii="Times New Roman" w:cs="Times New Roman" w:eastAsia="Times New Roman" w:hAnsi="Times New Roman"/>
          <w:sz w:val="22"/>
          <w:szCs w:val="22"/>
          <w:color w:val="auto"/>
        </w:rPr>
      </w:pPr>
    </w:p>
    <w:p>
      <w:pPr>
        <w:jc w:val="both"/>
        <w:ind w:left="-840" w:firstLine="1671"/>
        <w:spacing w:after="0" w:line="231" w:lineRule="auto"/>
        <w:tabs>
          <w:tab w:leader="none" w:pos="1711"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or any Parent or Subsidiary of the Company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83(b) election with respect to the Shares of Restricted Stock, or the sale of Shares, and (iii) any other Service Recipient taxes the responsibility for which Participant has, or has agreed to bear, with respect to the Shares of Restricted Stock (or release from escrow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(as defined below) with respect to the Shares of Restricted Stock, the subsequent sale of Shares acquired pursuant to this Award Agreement and the receipt of any dividends or other distributions,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election under Section 83(b) of the Code (the “</w:t>
      </w:r>
      <w:r>
        <w:rPr>
          <w:rFonts w:ascii="Times New Roman" w:cs="Times New Roman" w:eastAsia="Times New Roman" w:hAnsi="Times New Roman"/>
          <w:sz w:val="22"/>
          <w:szCs w:val="22"/>
          <w:u w:val="single" w:color="auto"/>
          <w:color w:val="auto"/>
        </w:rPr>
        <w:t>83(b) Election</w:t>
      </w:r>
      <w:r>
        <w:rPr>
          <w:rFonts w:ascii="Times New Roman" w:cs="Times New Roman" w:eastAsia="Times New Roman" w:hAnsi="Times New Roman"/>
          <w:sz w:val="22"/>
          <w:szCs w:val="22"/>
          <w:color w:val="auto"/>
        </w:rPr>
        <w:t>”) with the IRS within thirty (30) days from the date of grant of the Restricted Stock Award.</w:t>
      </w:r>
    </w:p>
    <w:p>
      <w:pPr>
        <w:spacing w:after="0" w:line="202" w:lineRule="exact"/>
        <w:rPr>
          <w:rFonts w:ascii="Times New Roman" w:cs="Times New Roman" w:eastAsia="Times New Roman" w:hAnsi="Times New Roman"/>
          <w:sz w:val="22"/>
          <w:szCs w:val="22"/>
          <w:color w:val="auto"/>
        </w:rPr>
      </w:pPr>
    </w:p>
    <w:p>
      <w:pPr>
        <w:ind w:left="4740" w:hanging="136"/>
        <w:spacing w:after="0"/>
        <w:tabs>
          <w:tab w:leader="none" w:pos="4740" w:val="left"/>
        </w:tabs>
        <w:numPr>
          <w:ilvl w:val="2"/>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79375</wp:posOffset>
            </wp:positionV>
            <wp:extent cx="714946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44" w:right="339" w:bottom="1440" w:gutter="0" w:footer="0" w:header="0"/>
        </w:sectPr>
      </w:pPr>
    </w:p>
    <w:bookmarkStart w:id="353" w:name="page354"/>
    <w:bookmarkEnd w:id="353"/>
    <w:p>
      <w:pPr>
        <w:jc w:val="both"/>
        <w:ind w:left="-8" w:firstLine="1671"/>
        <w:spacing w:after="0" w:line="243" w:lineRule="auto"/>
        <w:tabs>
          <w:tab w:leader="none" w:pos="2555"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Notwithstanding any contrary provision of this Award Agreement, no certificate representing the Shares of Restricted Stock may be released from the escrow established pursuant to Section 13, unless and until satisfactory arrangements (as determined by the Administrator) will have been made by Participant with respect to the payment of all Tax Obligations.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which the Company determines must be withheld with respect to this Award. The Administrator, in its sole discretion and pursuant to such procedures as it may specify from time to time, may permit or require Participant to satisfy Participant’s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applicable Service Recipient(s),</w:t>
      </w:r>
    </w:p>
    <w:p>
      <w:pPr>
        <w:spacing w:after="0" w:line="2" w:lineRule="exact"/>
        <w:rPr>
          <w:rFonts w:ascii="Times New Roman" w:cs="Times New Roman" w:eastAsia="Times New Roman" w:hAnsi="Times New Roman"/>
          <w:sz w:val="21"/>
          <w:szCs w:val="21"/>
          <w:color w:val="auto"/>
        </w:rPr>
      </w:pPr>
    </w:p>
    <w:p>
      <w:pPr>
        <w:jc w:val="both"/>
        <w:ind w:left="-8" w:firstLine="8"/>
        <w:spacing w:after="0" w:line="231" w:lineRule="auto"/>
        <w:tabs>
          <w:tab w:leader="none" w:pos="375"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delivering to the Company Shares that Participant owns and that already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releasable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If the Tax Obligations are satisfied by withholding in Shares, for tax purposes, Participant is deemed to have been issued, and had released from escrow, the full number of vested Shares subject to this Award,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p>
    <w:p>
      <w:pPr>
        <w:spacing w:after="0" w:line="186" w:lineRule="exact"/>
        <w:rPr>
          <w:rFonts w:ascii="Times New Roman" w:cs="Times New Roman" w:eastAsia="Times New Roman" w:hAnsi="Times New Roman"/>
          <w:sz w:val="22"/>
          <w:szCs w:val="22"/>
          <w:color w:val="auto"/>
        </w:rPr>
      </w:pPr>
    </w:p>
    <w:p>
      <w:pPr>
        <w:jc w:val="both"/>
        <w:ind w:left="-8" w:firstLine="1671"/>
        <w:spacing w:after="0" w:line="236" w:lineRule="auto"/>
        <w:tabs>
          <w:tab w:leader="none" w:pos="2543"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1" w:lineRule="exact"/>
        <w:rPr>
          <w:rFonts w:ascii="Times New Roman" w:cs="Times New Roman" w:eastAsia="Times New Roman" w:hAnsi="Times New Roman"/>
          <w:sz w:val="22"/>
          <w:szCs w:val="22"/>
          <w:color w:val="auto"/>
        </w:rPr>
      </w:pPr>
    </w:p>
    <w:p>
      <w:pPr>
        <w:ind w:left="5572" w:hanging="136"/>
        <w:spacing w:after="0"/>
        <w:tabs>
          <w:tab w:leader="none" w:pos="5572" w:val="left"/>
        </w:tabs>
        <w:numPr>
          <w:ilvl w:val="2"/>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4946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44" w:right="339" w:bottom="1440" w:gutter="0" w:footer="0" w:header="0"/>
        </w:sectPr>
      </w:pPr>
    </w:p>
    <w:bookmarkStart w:id="354" w:name="page355"/>
    <w:bookmarkEnd w:id="354"/>
    <w:p>
      <w:pPr>
        <w:jc w:val="both"/>
        <w:ind w:left="-840" w:firstLine="1671"/>
        <w:spacing w:after="0" w:line="234" w:lineRule="auto"/>
        <w:tabs>
          <w:tab w:leader="none" w:pos="1723"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Release Shares</w:t>
      </w:r>
      <w:r>
        <w:rPr>
          <w:rFonts w:ascii="Times New Roman" w:cs="Times New Roman" w:eastAsia="Times New Roman" w:hAnsi="Times New Roman"/>
          <w:sz w:val="22"/>
          <w:szCs w:val="22"/>
          <w:color w:val="auto"/>
        </w:rPr>
        <w:t>. For clarification purposes, in no event will the Company release Shares from the escrow established pursuant to Section 13 unless and until arrangements satisfactory to the Administrator have been made for the payment of Participant’s Tax Obligations. If Participant fails to make satisfactory arrangements for the payment of such Tax Obligations hereunder at the time any applicable Shares of Restricted Stock otherwise are scheduled to vest pursuant to Sections 2 or 3, at the time Participant files a timely 83(b) Election with the IRS, or Participant’s Tax Obligations otherwise become due, Participant permanently will forfeit such Shares of Restricted Stock to which Participant’s Tax Obligation relates and any right to receive Shares thereunder and such Shares of Restricted Stock will be returned to the Company at no cost to the Company. Participant acknowledges and agrees that the Company may refuse to issue or deliver the Shares if such Tax Obligations are not delivered at the time they are due.</w:t>
      </w:r>
    </w:p>
    <w:p>
      <w:pPr>
        <w:spacing w:after="0" w:line="183" w:lineRule="exact"/>
        <w:rPr>
          <w:rFonts w:ascii="Times New Roman" w:cs="Times New Roman" w:eastAsia="Times New Roman" w:hAnsi="Times New Roman"/>
          <w:sz w:val="22"/>
          <w:szCs w:val="22"/>
          <w:color w:val="auto"/>
        </w:rPr>
      </w:pPr>
    </w:p>
    <w:p>
      <w:pPr>
        <w:jc w:val="both"/>
        <w:ind w:left="-840" w:firstLine="840"/>
        <w:spacing w:after="0" w:line="235" w:lineRule="auto"/>
        <w:tabs>
          <w:tab w:leader="none" w:pos="80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13(f), after such issuance, recordation and delivery, Participant will have all the rights of a stockholder of the Company with respect to voting such Shares and receipt of dividends and distributions on such Shares.</w:t>
      </w:r>
    </w:p>
    <w:p>
      <w:pPr>
        <w:spacing w:after="0" w:line="178" w:lineRule="exact"/>
        <w:rPr>
          <w:rFonts w:ascii="Times New Roman" w:cs="Times New Roman" w:eastAsia="Times New Roman" w:hAnsi="Times New Roman"/>
          <w:sz w:val="22"/>
          <w:szCs w:val="22"/>
          <w:color w:val="auto"/>
        </w:rPr>
      </w:pPr>
    </w:p>
    <w:p>
      <w:pPr>
        <w:jc w:val="both"/>
        <w:ind w:left="-840" w:firstLine="840"/>
        <w:spacing w:after="0" w:line="233" w:lineRule="auto"/>
        <w:tabs>
          <w:tab w:leader="none" w:pos="80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SHARES OF RESTRICTED STOCK PURSUANT TO THE VESTING SCHEDULE HEREOF IS EARNED ONLY BY CONTINUING AS A SERVICE PROVIDER, WHICH UNLESS PROVIDED OTHERWISE UNDER APPLICABLE LAWS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4" w:lineRule="exact"/>
        <w:rPr>
          <w:rFonts w:ascii="Times New Roman" w:cs="Times New Roman" w:eastAsia="Times New Roman" w:hAnsi="Times New Roman"/>
          <w:sz w:val="22"/>
          <w:szCs w:val="22"/>
          <w:color w:val="auto"/>
        </w:rPr>
      </w:pPr>
    </w:p>
    <w:p>
      <w:pPr>
        <w:jc w:val="both"/>
        <w:ind w:left="-840" w:firstLine="840"/>
        <w:spacing w:after="0" w:line="235" w:lineRule="auto"/>
        <w:tabs>
          <w:tab w:leader="none" w:pos="80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for the escrow described in Section 13 or transfer of the Shares to the Company or its assignees contemplated by this Award Agreement, and except to the limited extent provided in Section 5, the unvested Shares subject to this Award Agreement and the rights and privileges conferred hereby will not be transferred, assigned, pledged or hypothecated in 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w:t>
      </w:r>
    </w:p>
    <w:p>
      <w:pPr>
        <w:spacing w:after="0" w:line="183" w:lineRule="exact"/>
        <w:rPr>
          <w:rFonts w:ascii="Times New Roman" w:cs="Times New Roman" w:eastAsia="Times New Roman" w:hAnsi="Times New Roman"/>
          <w:sz w:val="22"/>
          <w:szCs w:val="22"/>
          <w:color w:val="auto"/>
        </w:rPr>
      </w:pPr>
    </w:p>
    <w:p>
      <w:pPr>
        <w:ind w:left="4740" w:hanging="136"/>
        <w:spacing w:after="0"/>
        <w:tabs>
          <w:tab w:leader="none" w:pos="4740" w:val="left"/>
        </w:tabs>
        <w:numPr>
          <w:ilvl w:val="2"/>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79375</wp:posOffset>
            </wp:positionV>
            <wp:extent cx="714946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44" w:right="339" w:bottom="1440" w:gutter="0" w:footer="0" w:header="0"/>
        </w:sectPr>
      </w:pPr>
    </w:p>
    <w:bookmarkStart w:id="355" w:name="page356"/>
    <w:bookmarkEnd w:id="355"/>
    <w:p>
      <w:pPr>
        <w:spacing w:after="0" w:line="258" w:lineRule="auto"/>
        <w:rPr>
          <w:sz w:val="20"/>
          <w:szCs w:val="20"/>
          <w:color w:val="auto"/>
        </w:rPr>
      </w:pPr>
      <w:r>
        <w:rPr>
          <w:rFonts w:ascii="Times New Roman" w:cs="Times New Roman" w:eastAsia="Times New Roman" w:hAnsi="Times New Roman"/>
          <w:sz w:val="22"/>
          <w:szCs w:val="22"/>
          <w:color w:val="auto"/>
        </w:rPr>
        <w:t>or upon any attempted sale under any execution, attachment or similar process, the then-unvested Shares of Restricted Stock will thereupon be forfeited at no cost to the Company and Participant will have no further rights thereunder.</w:t>
      </w:r>
    </w:p>
    <w:p>
      <w:pPr>
        <w:spacing w:after="0" w:line="158" w:lineRule="exact"/>
        <w:rPr>
          <w:sz w:val="20"/>
          <w:szCs w:val="20"/>
          <w:color w:val="auto"/>
        </w:rPr>
      </w:pPr>
    </w:p>
    <w:p>
      <w:pPr>
        <w:ind w:left="1760" w:hanging="920"/>
        <w:spacing w:after="0"/>
        <w:tabs>
          <w:tab w:leader="none" w:pos="17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Participant acknowledges, understands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w:t>
      </w:r>
    </w:p>
    <w:p>
      <w:pPr>
        <w:spacing w:after="0" w:line="182" w:lineRule="exact"/>
        <w:rPr>
          <w:rFonts w:ascii="Times New Roman" w:cs="Times New Roman" w:eastAsia="Times New Roman" w:hAnsi="Times New Roman"/>
          <w:sz w:val="22"/>
          <w:szCs w:val="22"/>
          <w:color w:val="auto"/>
        </w:rPr>
      </w:pPr>
    </w:p>
    <w:p>
      <w:pPr>
        <w:jc w:val="both"/>
        <w:ind w:firstLine="1671"/>
        <w:spacing w:after="0" w:line="244" w:lineRule="auto"/>
        <w:tabs>
          <w:tab w:leader="none" w:pos="2551"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173" w:lineRule="exact"/>
        <w:rPr>
          <w:rFonts w:ascii="Times New Roman" w:cs="Times New Roman" w:eastAsia="Times New Roman" w:hAnsi="Times New Roman"/>
          <w:sz w:val="22"/>
          <w:szCs w:val="22"/>
          <w:color w:val="auto"/>
        </w:rPr>
      </w:pPr>
    </w:p>
    <w:p>
      <w:pPr>
        <w:ind w:firstLine="1671"/>
        <w:spacing w:after="0" w:line="258" w:lineRule="auto"/>
        <w:tabs>
          <w:tab w:leader="none" w:pos="2563"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of Restricted Stock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560" w:hanging="889"/>
        <w:spacing w:after="0"/>
        <w:tabs>
          <w:tab w:leader="none" w:pos="256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Restricted Stock are not intended to replace any pension rights or compensation;</w:t>
      </w:r>
    </w:p>
    <w:p>
      <w:pPr>
        <w:spacing w:after="0" w:line="206" w:lineRule="exact"/>
        <w:rPr>
          <w:rFonts w:ascii="Times New Roman" w:cs="Times New Roman" w:eastAsia="Times New Roman" w:hAnsi="Times New Roman"/>
          <w:sz w:val="22"/>
          <w:szCs w:val="22"/>
          <w:color w:val="auto"/>
        </w:rPr>
      </w:pPr>
    </w:p>
    <w:p>
      <w:pPr>
        <w:jc w:val="both"/>
        <w:ind w:firstLine="1671"/>
        <w:spacing w:after="0" w:line="244" w:lineRule="auto"/>
        <w:tabs>
          <w:tab w:leader="none" w:pos="2551"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3" w:lineRule="exact"/>
        <w:rPr>
          <w:rFonts w:ascii="Times New Roman" w:cs="Times New Roman" w:eastAsia="Times New Roman" w:hAnsi="Times New Roman"/>
          <w:sz w:val="22"/>
          <w:szCs w:val="22"/>
          <w:color w:val="auto"/>
        </w:rPr>
      </w:pPr>
    </w:p>
    <w:p>
      <w:pPr>
        <w:ind w:left="2540" w:hanging="869"/>
        <w:spacing w:after="0"/>
        <w:tabs>
          <w:tab w:leader="none" w:pos="25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w:t>
      </w:r>
    </w:p>
    <w:p>
      <w:pPr>
        <w:spacing w:after="0" w:line="206" w:lineRule="exact"/>
        <w:rPr>
          <w:rFonts w:ascii="Times New Roman" w:cs="Times New Roman" w:eastAsia="Times New Roman" w:hAnsi="Times New Roman"/>
          <w:sz w:val="22"/>
          <w:szCs w:val="22"/>
          <w:color w:val="auto"/>
        </w:rPr>
      </w:pPr>
    </w:p>
    <w:p>
      <w:pPr>
        <w:jc w:val="both"/>
        <w:ind w:firstLine="1671"/>
        <w:spacing w:after="0" w:line="245" w:lineRule="auto"/>
        <w:tabs>
          <w:tab w:leader="none" w:pos="2563"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Restricted Stock Award (including whether Participant may still be considered to be providing services while on a leave of absence and consistent with local law);</w:t>
      </w:r>
    </w:p>
    <w:p>
      <w:pPr>
        <w:spacing w:after="0" w:line="173"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2"/>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6" w:name="page357"/>
    <w:bookmarkEnd w:id="356"/>
    <w:p>
      <w:pPr>
        <w:jc w:val="both"/>
        <w:ind w:firstLine="1671"/>
        <w:spacing w:after="0" w:line="239" w:lineRule="auto"/>
        <w:tabs>
          <w:tab w:leader="none" w:pos="2563"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520" w:hanging="849"/>
        <w:spacing w:after="0"/>
        <w:tabs>
          <w:tab w:leader="none" w:pos="2520"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rFonts w:ascii="Times New Roman" w:cs="Times New Roman" w:eastAsia="Times New Roman" w:hAnsi="Times New Roman"/>
          <w:sz w:val="22"/>
          <w:szCs w:val="22"/>
          <w:color w:val="auto"/>
        </w:rPr>
      </w:pPr>
    </w:p>
    <w:p>
      <w:pPr>
        <w:ind w:left="4600" w:hanging="848"/>
        <w:spacing w:after="0"/>
        <w:tabs>
          <w:tab w:leader="none" w:pos="4600"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Restricted  Stock  are  not  part  of  normal  or  expected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or salary for any purpose;</w:t>
      </w:r>
    </w:p>
    <w:p>
      <w:pPr>
        <w:spacing w:after="0" w:line="182" w:lineRule="exact"/>
        <w:rPr>
          <w:rFonts w:ascii="Times New Roman" w:cs="Times New Roman" w:eastAsia="Times New Roman" w:hAnsi="Times New Roman"/>
          <w:sz w:val="22"/>
          <w:szCs w:val="22"/>
          <w:color w:val="auto"/>
        </w:rPr>
      </w:pPr>
    </w:p>
    <w:p>
      <w:pPr>
        <w:jc w:val="both"/>
        <w:ind w:firstLine="3752"/>
        <w:spacing w:after="0" w:line="244" w:lineRule="auto"/>
        <w:tabs>
          <w:tab w:leader="none" w:pos="4655"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Shares of Restricted Stock or the subsequent sale of any Shares; and</w:t>
      </w:r>
    </w:p>
    <w:p>
      <w:pPr>
        <w:spacing w:after="0" w:line="173" w:lineRule="exact"/>
        <w:rPr>
          <w:rFonts w:ascii="Times New Roman" w:cs="Times New Roman" w:eastAsia="Times New Roman" w:hAnsi="Times New Roman"/>
          <w:sz w:val="22"/>
          <w:szCs w:val="22"/>
          <w:color w:val="auto"/>
        </w:rPr>
      </w:pPr>
    </w:p>
    <w:p>
      <w:pPr>
        <w:jc w:val="both"/>
        <w:ind w:firstLine="3752"/>
        <w:spacing w:after="0" w:line="234" w:lineRule="auto"/>
        <w:tabs>
          <w:tab w:leader="none" w:pos="4715"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3" w:lineRule="exact"/>
        <w:rPr>
          <w:rFonts w:ascii="Times New Roman" w:cs="Times New Roman" w:eastAsia="Times New Roman" w:hAnsi="Times New Roman"/>
          <w:sz w:val="22"/>
          <w:szCs w:val="22"/>
          <w:color w:val="auto"/>
        </w:rPr>
      </w:pPr>
    </w:p>
    <w:p>
      <w:pPr>
        <w:jc w:val="both"/>
        <w:ind w:firstLine="840"/>
        <w:spacing w:after="0" w:line="239" w:lineRule="auto"/>
        <w:tabs>
          <w:tab w:leader="none" w:pos="1742"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advisers regarding his or her participation in the Plan before taking any action related to the Plan.</w:t>
      </w:r>
    </w:p>
    <w:p>
      <w:pPr>
        <w:spacing w:after="0" w:line="174" w:lineRule="exact"/>
        <w:rPr>
          <w:rFonts w:ascii="Times New Roman" w:cs="Times New Roman" w:eastAsia="Times New Roman" w:hAnsi="Times New Roman"/>
          <w:sz w:val="22"/>
          <w:szCs w:val="22"/>
          <w:color w:val="auto"/>
        </w:rPr>
      </w:pPr>
    </w:p>
    <w:p>
      <w:pPr>
        <w:jc w:val="both"/>
        <w:ind w:firstLine="840"/>
        <w:spacing w:after="0" w:line="241" w:lineRule="auto"/>
        <w:tabs>
          <w:tab w:leader="none" w:pos="1750" w:val="left"/>
        </w:tabs>
        <w:numPr>
          <w:ilvl w:val="0"/>
          <w:numId w:val="25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7" w:name="page358"/>
    <w:bookmarkEnd w:id="357"/>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45"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0" w:lineRule="exact"/>
        <w:rPr>
          <w:sz w:val="20"/>
          <w:szCs w:val="20"/>
          <w:color w:val="auto"/>
        </w:rPr>
      </w:pPr>
    </w:p>
    <w:p>
      <w:pPr>
        <w:ind w:left="1760" w:hanging="920"/>
        <w:spacing w:after="0"/>
        <w:tabs>
          <w:tab w:leader="none" w:pos="17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Escrow of Shares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671"/>
        <w:spacing w:after="0" w:line="239" w:lineRule="auto"/>
        <w:tabs>
          <w:tab w:leader="none" w:pos="2551"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of Restricted Stock will, upon execution of this Award Agreement, be delivered and deposited with an escrow holder designated by the Company (the “</w:t>
      </w:r>
      <w:r>
        <w:rPr>
          <w:rFonts w:ascii="Times New Roman" w:cs="Times New Roman" w:eastAsia="Times New Roman" w:hAnsi="Times New Roman"/>
          <w:sz w:val="22"/>
          <w:szCs w:val="22"/>
          <w:u w:val="single" w:color="auto"/>
          <w:color w:val="auto"/>
        </w:rPr>
        <w:t>Escrow Holder</w:t>
      </w:r>
      <w:r>
        <w:rPr>
          <w:rFonts w:ascii="Times New Roman" w:cs="Times New Roman" w:eastAsia="Times New Roman" w:hAnsi="Times New Roman"/>
          <w:sz w:val="22"/>
          <w:szCs w:val="22"/>
          <w:color w:val="auto"/>
        </w:rPr>
        <w:t>”). The Shares of Restricted Stock will be held by the Escrow Holder until such time as the Shares of Restricted Stock vest or the date Participant ceases to be a Service Provider.</w:t>
      </w:r>
    </w:p>
    <w:p>
      <w:pPr>
        <w:spacing w:after="0" w:line="180" w:lineRule="exact"/>
        <w:rPr>
          <w:rFonts w:ascii="Times New Roman" w:cs="Times New Roman" w:eastAsia="Times New Roman" w:hAnsi="Times New Roman"/>
          <w:sz w:val="22"/>
          <w:szCs w:val="22"/>
          <w:color w:val="auto"/>
        </w:rPr>
      </w:pPr>
    </w:p>
    <w:p>
      <w:pPr>
        <w:ind w:firstLine="1671"/>
        <w:spacing w:after="0" w:line="258" w:lineRule="auto"/>
        <w:tabs>
          <w:tab w:leader="none" w:pos="2563"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Holder will not be liable for any act it may do or omit to do with respect to holding the Shares of Restricted Stock in escrow and while acting in good faith and in the exercise of its judgment.</w:t>
      </w:r>
    </w:p>
    <w:p>
      <w:pPr>
        <w:spacing w:after="0" w:line="158" w:lineRule="exact"/>
        <w:rPr>
          <w:rFonts w:ascii="Times New Roman" w:cs="Times New Roman" w:eastAsia="Times New Roman" w:hAnsi="Times New Roman"/>
          <w:sz w:val="22"/>
          <w:szCs w:val="22"/>
          <w:color w:val="auto"/>
        </w:rPr>
      </w:pPr>
    </w:p>
    <w:p>
      <w:pPr>
        <w:jc w:val="both"/>
        <w:ind w:firstLine="1671"/>
        <w:spacing w:after="0" w:line="262" w:lineRule="exact"/>
        <w:tabs>
          <w:tab w:leader="none" w:pos="2722"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with irrevocable power and authority in the name and on behalf of Participant to take</w:t>
      </w:r>
    </w:p>
    <w:p>
      <w:pPr>
        <w:spacing w:after="0" w:line="155"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2"/>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58" w:name="page359"/>
    <w:bookmarkEnd w:id="358"/>
    <w:p>
      <w:pPr>
        <w:jc w:val="both"/>
        <w:spacing w:after="0" w:line="282" w:lineRule="auto"/>
        <w:rPr>
          <w:sz w:val="20"/>
          <w:szCs w:val="20"/>
          <w:color w:val="auto"/>
        </w:rPr>
      </w:pPr>
      <w:r>
        <w:rPr>
          <w:rFonts w:ascii="Times New Roman" w:cs="Times New Roman" w:eastAsia="Times New Roman" w:hAnsi="Times New Roman"/>
          <w:sz w:val="21"/>
          <w:szCs w:val="21"/>
          <w:color w:val="auto"/>
        </w:rPr>
        <w:t>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35" w:lineRule="exact"/>
        <w:rPr>
          <w:sz w:val="20"/>
          <w:szCs w:val="20"/>
          <w:color w:val="auto"/>
        </w:rPr>
      </w:pPr>
    </w:p>
    <w:p>
      <w:pPr>
        <w:ind w:firstLine="1671"/>
        <w:spacing w:after="0" w:line="258" w:lineRule="auto"/>
        <w:tabs>
          <w:tab w:leader="none" w:pos="2563"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Holder will take all steps necessary to accomplish the transfer of Shares of Restricted Stock to Participant after they vest following Participant’s request that the Escrow Holder do so.</w:t>
      </w:r>
    </w:p>
    <w:p>
      <w:pPr>
        <w:spacing w:after="0" w:line="158" w:lineRule="exact"/>
        <w:rPr>
          <w:rFonts w:ascii="Times New Roman" w:cs="Times New Roman" w:eastAsia="Times New Roman" w:hAnsi="Times New Roman"/>
          <w:sz w:val="22"/>
          <w:szCs w:val="22"/>
          <w:color w:val="auto"/>
        </w:rPr>
      </w:pPr>
    </w:p>
    <w:p>
      <w:pPr>
        <w:jc w:val="both"/>
        <w:ind w:firstLine="1671"/>
        <w:spacing w:after="0" w:line="244" w:lineRule="auto"/>
        <w:tabs>
          <w:tab w:leader="none" w:pos="255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hereof, Participant shall have all the rights of a stockholder with respect to such Shares while they are held in escrow, including without limitation, the right to vote the Shares and receive any cash dividends declared thereon.</w:t>
      </w:r>
    </w:p>
    <w:p>
      <w:pPr>
        <w:spacing w:after="0" w:line="173" w:lineRule="exact"/>
        <w:rPr>
          <w:rFonts w:ascii="Times New Roman" w:cs="Times New Roman" w:eastAsia="Times New Roman" w:hAnsi="Times New Roman"/>
          <w:sz w:val="22"/>
          <w:szCs w:val="22"/>
          <w:color w:val="auto"/>
        </w:rPr>
      </w:pPr>
    </w:p>
    <w:p>
      <w:pPr>
        <w:jc w:val="both"/>
        <w:ind w:firstLine="1671"/>
        <w:spacing w:after="0" w:line="244" w:lineRule="auto"/>
        <w:tabs>
          <w:tab w:leader="none" w:pos="2527"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his or her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78" w:lineRule="exact"/>
        <w:rPr>
          <w:rFonts w:ascii="Times New Roman" w:cs="Times New Roman" w:eastAsia="Times New Roman" w:hAnsi="Times New Roman"/>
          <w:sz w:val="21"/>
          <w:szCs w:val="21"/>
          <w:color w:val="auto"/>
        </w:rPr>
      </w:pPr>
    </w:p>
    <w:p>
      <w:pPr>
        <w:jc w:val="both"/>
        <w:ind w:firstLine="1671"/>
        <w:spacing w:after="0" w:line="244" w:lineRule="auto"/>
        <w:tabs>
          <w:tab w:leader="none" w:pos="2563"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instruct the transfer agent for its Common Stock to place a legend on the certificates representing the Restricted Stock or otherwise note its records as to the restrictions on transfer set forth in this Award Agreement.</w:t>
      </w:r>
    </w:p>
    <w:p>
      <w:pPr>
        <w:spacing w:after="0" w:line="173" w:lineRule="exact"/>
        <w:rPr>
          <w:rFonts w:ascii="Times New Roman" w:cs="Times New Roman" w:eastAsia="Times New Roman" w:hAnsi="Times New Roman"/>
          <w:sz w:val="22"/>
          <w:szCs w:val="22"/>
          <w:color w:val="auto"/>
        </w:rPr>
      </w:pPr>
    </w:p>
    <w:p>
      <w:pPr>
        <w:jc w:val="both"/>
        <w:ind w:firstLine="840"/>
        <w:spacing w:after="0" w:line="244" w:lineRule="auto"/>
        <w:tabs>
          <w:tab w:leader="none" w:pos="175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Athira Pharma, Inc., 400 Mason Rd., Suite 300, Seattle, Washington 98195-2141, or at such other address as the Company may hereafter designate in writing.</w:t>
      </w:r>
    </w:p>
    <w:p>
      <w:pPr>
        <w:spacing w:after="0" w:line="173" w:lineRule="exact"/>
        <w:rPr>
          <w:rFonts w:ascii="Times New Roman" w:cs="Times New Roman" w:eastAsia="Times New Roman" w:hAnsi="Times New Roman"/>
          <w:sz w:val="22"/>
          <w:szCs w:val="22"/>
          <w:color w:val="auto"/>
        </w:rPr>
      </w:pPr>
    </w:p>
    <w:p>
      <w:pPr>
        <w:jc w:val="both"/>
        <w:ind w:firstLine="840"/>
        <w:spacing w:after="0" w:line="238" w:lineRule="auto"/>
        <w:tabs>
          <w:tab w:leader="none" w:pos="175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9" w:name="page360"/>
    <w:bookmarkEnd w:id="359"/>
    <w:p>
      <w:pPr>
        <w:jc w:val="both"/>
        <w:ind w:left="-840" w:firstLine="840"/>
        <w:spacing w:after="0" w:line="233" w:lineRule="auto"/>
        <w:tabs>
          <w:tab w:leader="none" w:pos="91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Restricted Stock as the Administrator may establish from time to time for reasons of administrative convenience.</w:t>
      </w:r>
    </w:p>
    <w:p>
      <w:pPr>
        <w:spacing w:after="0" w:line="184" w:lineRule="exact"/>
        <w:rPr>
          <w:rFonts w:ascii="Times New Roman" w:cs="Times New Roman" w:eastAsia="Times New Roman" w:hAnsi="Times New Roman"/>
          <w:sz w:val="22"/>
          <w:szCs w:val="22"/>
          <w:color w:val="auto"/>
        </w:rPr>
      </w:pPr>
    </w:p>
    <w:p>
      <w:pPr>
        <w:jc w:val="both"/>
        <w:ind w:left="-840" w:firstLine="840"/>
        <w:spacing w:after="0" w:line="244" w:lineRule="auto"/>
        <w:tabs>
          <w:tab w:leader="none" w:pos="91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840" w:firstLine="840"/>
        <w:spacing w:after="0" w:line="235" w:lineRule="auto"/>
        <w:tabs>
          <w:tab w:leader="none" w:pos="91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3" w:lineRule="exact"/>
        <w:rPr>
          <w:rFonts w:ascii="Times New Roman" w:cs="Times New Roman" w:eastAsia="Times New Roman" w:hAnsi="Times New Roman"/>
          <w:sz w:val="22"/>
          <w:szCs w:val="22"/>
          <w:color w:val="auto"/>
        </w:rPr>
      </w:pPr>
    </w:p>
    <w:p>
      <w:pPr>
        <w:jc w:val="both"/>
        <w:ind w:left="-840" w:firstLine="840"/>
        <w:spacing w:after="0" w:line="238" w:lineRule="auto"/>
        <w:tabs>
          <w:tab w:leader="none" w:pos="91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Shares of Restricted Stock awarded under the Plan or future Shares of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6" w:lineRule="exact"/>
        <w:rPr>
          <w:rFonts w:ascii="Times New Roman" w:cs="Times New Roman" w:eastAsia="Times New Roman" w:hAnsi="Times New Roman"/>
          <w:sz w:val="22"/>
          <w:szCs w:val="22"/>
          <w:color w:val="auto"/>
        </w:rPr>
      </w:pPr>
    </w:p>
    <w:p>
      <w:pPr>
        <w:ind w:left="-840" w:firstLine="840"/>
        <w:spacing w:after="0" w:line="258" w:lineRule="auto"/>
        <w:tabs>
          <w:tab w:leader="none" w:pos="91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rFonts w:ascii="Times New Roman" w:cs="Times New Roman" w:eastAsia="Times New Roman" w:hAnsi="Times New Roman"/>
          <w:sz w:val="22"/>
          <w:szCs w:val="22"/>
          <w:color w:val="auto"/>
        </w:rPr>
      </w:pPr>
    </w:p>
    <w:p>
      <w:pPr>
        <w:jc w:val="both"/>
        <w:ind w:left="-840" w:right="20" w:firstLine="840"/>
        <w:spacing w:after="0" w:line="239" w:lineRule="auto"/>
        <w:tabs>
          <w:tab w:leader="none" w:pos="91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rFonts w:ascii="Times New Roman" w:cs="Times New Roman" w:eastAsia="Times New Roman" w:hAnsi="Times New Roman"/>
          <w:sz w:val="22"/>
          <w:szCs w:val="22"/>
          <w:color w:val="auto"/>
        </w:rPr>
      </w:pPr>
    </w:p>
    <w:p>
      <w:pPr>
        <w:ind w:left="4740" w:hanging="136"/>
        <w:spacing w:after="0"/>
        <w:tabs>
          <w:tab w:leader="none" w:pos="4740"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79375</wp:posOffset>
            </wp:positionV>
            <wp:extent cx="714946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44" w:right="339" w:bottom="1440" w:gutter="0" w:footer="0" w:header="0"/>
        </w:sectPr>
      </w:pPr>
    </w:p>
    <w:bookmarkStart w:id="360" w:name="page361"/>
    <w:bookmarkEnd w:id="360"/>
    <w:p>
      <w:pPr>
        <w:jc w:val="both"/>
        <w:ind w:left="-840" w:firstLine="840"/>
        <w:spacing w:after="0" w:line="235" w:lineRule="auto"/>
        <w:tabs>
          <w:tab w:leader="none" w:pos="91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grant shall be subject to any special terms and conditions set forth in an appendix (if any) to this Award Agreement for any country whose laws are applicable to Participant and this Award of Restricted Stock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3" w:lineRule="exact"/>
        <w:rPr>
          <w:rFonts w:ascii="Times New Roman" w:cs="Times New Roman" w:eastAsia="Times New Roman" w:hAnsi="Times New Roman"/>
          <w:sz w:val="22"/>
          <w:szCs w:val="22"/>
          <w:color w:val="auto"/>
        </w:rPr>
      </w:pPr>
    </w:p>
    <w:p>
      <w:pPr>
        <w:jc w:val="both"/>
        <w:ind w:left="-840" w:firstLine="840"/>
        <w:spacing w:after="0" w:line="235" w:lineRule="auto"/>
        <w:tabs>
          <w:tab w:leader="none" w:pos="91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spacing w:after="0" w:line="178" w:lineRule="exact"/>
        <w:rPr>
          <w:rFonts w:ascii="Times New Roman" w:cs="Times New Roman" w:eastAsia="Times New Roman" w:hAnsi="Times New Roman"/>
          <w:sz w:val="22"/>
          <w:szCs w:val="22"/>
          <w:color w:val="auto"/>
        </w:rPr>
      </w:pPr>
    </w:p>
    <w:p>
      <w:pPr>
        <w:jc w:val="both"/>
        <w:ind w:left="-840" w:firstLine="840"/>
        <w:spacing w:after="0" w:line="239" w:lineRule="auto"/>
        <w:tabs>
          <w:tab w:leader="none" w:pos="91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rFonts w:ascii="Times New Roman" w:cs="Times New Roman" w:eastAsia="Times New Roman" w:hAnsi="Times New Roman"/>
          <w:sz w:val="22"/>
          <w:szCs w:val="22"/>
          <w:color w:val="auto"/>
        </w:rPr>
      </w:pPr>
    </w:p>
    <w:p>
      <w:pPr>
        <w:jc w:val="both"/>
        <w:ind w:left="-840" w:firstLine="840"/>
        <w:spacing w:after="0" w:line="239" w:lineRule="auto"/>
        <w:tabs>
          <w:tab w:leader="none" w:pos="91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Award Agreement and the Shares of Restricted Stock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80" w:lineRule="exact"/>
        <w:rPr>
          <w:rFonts w:ascii="Times New Roman" w:cs="Times New Roman" w:eastAsia="Times New Roman" w:hAnsi="Times New Roman"/>
          <w:sz w:val="22"/>
          <w:szCs w:val="22"/>
          <w:color w:val="auto"/>
        </w:rPr>
      </w:pPr>
    </w:p>
    <w:p>
      <w:pPr>
        <w:jc w:val="both"/>
        <w:ind w:left="-840" w:firstLine="840"/>
        <w:spacing w:after="0" w:line="238" w:lineRule="auto"/>
        <w:tabs>
          <w:tab w:leader="none" w:pos="91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6" w:lineRule="exact"/>
        <w:rPr>
          <w:rFonts w:ascii="Times New Roman" w:cs="Times New Roman" w:eastAsia="Times New Roman" w:hAnsi="Times New Roman"/>
          <w:sz w:val="22"/>
          <w:szCs w:val="22"/>
          <w:color w:val="auto"/>
        </w:rPr>
      </w:pPr>
    </w:p>
    <w:p>
      <w:pPr>
        <w:ind w:left="4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4680" w:hanging="130"/>
        <w:spacing w:after="0"/>
        <w:tabs>
          <w:tab w:leader="none" w:pos="4680" w:val="left"/>
        </w:tabs>
        <w:numPr>
          <w:ilvl w:val="2"/>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79375</wp:posOffset>
            </wp:positionV>
            <wp:extent cx="714946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44" w:right="339" w:bottom="1440" w:gutter="0" w:footer="0" w:header="0"/>
        </w:sectPr>
      </w:pPr>
    </w:p>
    <w:bookmarkStart w:id="361" w:name="page362"/>
    <w:bookmarkEnd w:id="36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COUNTRY ADDENDUM TO RESTRICTED STOCK AWARD AGREEMENT</w:t>
      </w:r>
    </w:p>
    <w:p>
      <w:pPr>
        <w:spacing w:after="0" w:line="210" w:lineRule="exact"/>
        <w:rPr>
          <w:sz w:val="20"/>
          <w:szCs w:val="20"/>
          <w:color w:val="auto"/>
        </w:rPr>
      </w:pPr>
    </w:p>
    <w:p>
      <w:pPr>
        <w:jc w:val="both"/>
        <w:ind w:firstLine="832"/>
        <w:spacing w:after="0" w:line="239"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Award Agreement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will be ascribed the same defined meanings as set forth in the Restricted Stock Award Agreement of which this Country Addendum forms a part (or the Plan or other written agreement as specified in the Restricted Stock Award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832"/>
        <w:spacing w:after="0" w:line="235"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granted pursuant to the terms and conditions of the Athira Pharma, Inc. 2020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Restricted Stock Award Agreement to which this Country Addendum is attached (the “</w:t>
      </w:r>
      <w:r>
        <w:rPr>
          <w:rFonts w:ascii="Times New Roman" w:cs="Times New Roman" w:eastAsia="Times New Roman" w:hAnsi="Times New Roman"/>
          <w:sz w:val="22"/>
          <w:szCs w:val="22"/>
          <w:u w:val="single" w:color="auto"/>
          <w:color w:val="auto"/>
        </w:rPr>
        <w:t>Restricted Stock Award Agreement</w:t>
      </w:r>
      <w:r>
        <w:rPr>
          <w:rFonts w:ascii="Times New Roman" w:cs="Times New Roman" w:eastAsia="Times New Roman" w:hAnsi="Times New Roman"/>
          <w:sz w:val="22"/>
          <w:szCs w:val="22"/>
          <w:color w:val="auto"/>
        </w:rPr>
        <w:t>”) to the extent the individual to whom the Shares of Restricted Stock were granted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is granted, the Company, in its discretion, will determine to what extent the terms and conditions contained herein will apply to the Participant.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832"/>
        <w:spacing w:after="0" w:line="238" w:lineRule="auto"/>
        <w:rPr>
          <w:sz w:val="20"/>
          <w:szCs w:val="20"/>
          <w:color w:val="auto"/>
        </w:rPr>
      </w:pPr>
      <w:r>
        <w:rPr>
          <w:rFonts w:ascii="Times New Roman" w:cs="Times New Roman" w:eastAsia="Times New Roman" w:hAnsi="Times New Roman"/>
          <w:sz w:val="22"/>
          <w:szCs w:val="22"/>
          <w:color w:val="auto"/>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2020. Such Applicable Laws</w:t>
      </w:r>
    </w:p>
    <w:p>
      <w:pPr>
        <w:jc w:val="both"/>
        <w:spacing w:after="0" w:line="234" w:lineRule="auto"/>
        <w:rPr>
          <w:sz w:val="20"/>
          <w:szCs w:val="20"/>
          <w:color w:val="auto"/>
        </w:rPr>
      </w:pPr>
      <w:r>
        <w:rPr>
          <w:rFonts w:ascii="Times New Roman" w:cs="Times New Roman" w:eastAsia="Times New Roman" w:hAnsi="Times New Roman"/>
          <w:sz w:val="22"/>
          <w:szCs w:val="22"/>
          <w:color w:val="auto"/>
        </w:rPr>
        <w:t>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Shares of Restricted Stock.</w:t>
      </w:r>
    </w:p>
    <w:p>
      <w:pPr>
        <w:spacing w:after="0" w:line="177" w:lineRule="exact"/>
        <w:rPr>
          <w:sz w:val="20"/>
          <w:szCs w:val="20"/>
          <w:color w:val="auto"/>
        </w:rPr>
      </w:pPr>
    </w:p>
    <w:p>
      <w:pPr>
        <w:jc w:val="both"/>
        <w:ind w:firstLine="832"/>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832"/>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the grant of the Shares of Restricted Stock, or is considered a resident of another country for local law purposes, the information in this Country Addendum may not apply to Participant in the same manner.</w:t>
      </w:r>
    </w:p>
    <w:p>
      <w:pPr>
        <w:sectPr>
          <w:pgSz w:w="11900" w:h="16838" w:orient="portrait"/>
          <w:cols w:equalWidth="0" w:num="1">
            <w:col w:w="11240"/>
          </w:cols>
          <w:pgMar w:left="320" w:top="324" w:right="33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21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Unless otherwise defined herein, the terms defined in the Athira Pharma, Inc. 2020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00" w:lineRule="exact"/>
        <w:rPr>
          <w:sz w:val="20"/>
          <w:szCs w:val="20"/>
          <w:color w:val="auto"/>
        </w:rPr>
      </w:pPr>
    </w:p>
    <w:p>
      <w:pPr>
        <w:spacing w:after="0" w:line="22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Award of Restricted Stock Units, subject to the terms and conditions of the Plan and this Award Agreement, as follows: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10795</wp:posOffset>
            </wp:positionV>
            <wp:extent cx="26060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10795</wp:posOffset>
            </wp:positionV>
            <wp:extent cx="260604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10795</wp:posOffset>
            </wp:positionV>
            <wp:extent cx="260604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10795</wp:posOffset>
            </wp:positionV>
            <wp:extent cx="260604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Quarterly Vesting Dates</w:t>
      </w:r>
      <w:r>
        <w:rPr>
          <w:rFonts w:ascii="Times New Roman" w:cs="Times New Roman" w:eastAsia="Times New Roman" w:hAnsi="Times New Roman"/>
          <w:sz w:val="22"/>
          <w:szCs w:val="22"/>
          <w:color w:val="auto"/>
        </w:rPr>
        <w:t>” 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Award Agreement or any other written agreement between Participant and the Company (or any Parent or Subsidiary of the Company, as applicable) governing the terms of this Award, the Restricted Stock Units will be scheduled to vest according to the following vesting schedule:</w:t>
      </w:r>
    </w:p>
    <w:p>
      <w:pPr>
        <w:spacing w:after="0" w:line="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w:t>
      </w:r>
    </w:p>
    <w:p>
      <w:pPr>
        <w:spacing w:after="0" w:line="98"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By Participant’s signature and the signature of the representative of the Company below, Participant and the Company agree that this Award of Restricted Stock Units is granted 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4946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3" w:name="page364"/>
    <w:bookmarkEnd w:id="363"/>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governed by the terms and conditions of the Plan and this Award Agreement, including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PARTICIPANT</w:t>
            </w:r>
          </w:p>
        </w:tc>
        <w:tc>
          <w:tcPr>
            <w:tcW w:w="86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22"/>
                <w:szCs w:val="22"/>
                <w:color w:val="auto"/>
              </w:rPr>
              <w:t>ATHIRA PHARMA, INC.</w:t>
            </w:r>
          </w:p>
        </w:tc>
      </w:tr>
      <w:tr>
        <w:trPr>
          <w:trHeight w:val="420"/>
        </w:trPr>
        <w:tc>
          <w:tcPr>
            <w:tcW w:w="52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76"/>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86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r>
      <w:tr>
        <w:trPr>
          <w:trHeight w:val="393"/>
        </w:trPr>
        <w:tc>
          <w:tcPr>
            <w:tcW w:w="52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76"/>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86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r>
      <w:tr>
        <w:trPr>
          <w:trHeight w:val="393"/>
        </w:trPr>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76"/>
        </w:trPr>
        <w:tc>
          <w:tcPr>
            <w:tcW w:w="5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r>
      <w:tr>
        <w:trPr>
          <w:trHeight w:val="648"/>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Residence Address:</w:t>
            </w: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26"/>
        </w:trPr>
        <w:tc>
          <w:tcPr>
            <w:tcW w:w="52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4" w:name="page365"/>
    <w:bookmarkEnd w:id="36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UNIT GRANT</w:t>
      </w:r>
    </w:p>
    <w:p>
      <w:pPr>
        <w:spacing w:after="0" w:line="210" w:lineRule="exact"/>
        <w:rPr>
          <w:sz w:val="20"/>
          <w:szCs w:val="20"/>
          <w:color w:val="auto"/>
        </w:rPr>
      </w:pPr>
    </w:p>
    <w:p>
      <w:pPr>
        <w:jc w:val="both"/>
        <w:ind w:firstLine="840"/>
        <w:spacing w:after="0" w:line="238" w:lineRule="auto"/>
        <w:tabs>
          <w:tab w:leader="none" w:pos="164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under the Plan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6" w:lineRule="exact"/>
        <w:rPr>
          <w:rFonts w:ascii="Times New Roman" w:cs="Times New Roman" w:eastAsia="Times New Roman" w:hAnsi="Times New Roman"/>
          <w:sz w:val="22"/>
          <w:szCs w:val="22"/>
          <w:color w:val="auto"/>
        </w:rPr>
      </w:pPr>
    </w:p>
    <w:p>
      <w:pPr>
        <w:jc w:val="both"/>
        <w:ind w:firstLine="840"/>
        <w:spacing w:after="0" w:line="238" w:lineRule="auto"/>
        <w:tabs>
          <w:tab w:leader="none" w:pos="164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6" w:lineRule="exact"/>
        <w:rPr>
          <w:rFonts w:ascii="Times New Roman" w:cs="Times New Roman" w:eastAsia="Times New Roman" w:hAnsi="Times New Roman"/>
          <w:sz w:val="22"/>
          <w:szCs w:val="22"/>
          <w:color w:val="auto"/>
        </w:rPr>
      </w:pPr>
    </w:p>
    <w:p>
      <w:pPr>
        <w:jc w:val="both"/>
        <w:ind w:firstLine="840"/>
        <w:spacing w:after="0" w:line="235" w:lineRule="auto"/>
        <w:tabs>
          <w:tab w:leader="none" w:pos="164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3" w:lineRule="exact"/>
        <w:rPr>
          <w:rFonts w:ascii="Times New Roman" w:cs="Times New Roman" w:eastAsia="Times New Roman" w:hAnsi="Times New Roman"/>
          <w:sz w:val="22"/>
          <w:szCs w:val="22"/>
          <w:color w:val="auto"/>
        </w:rPr>
      </w:pPr>
    </w:p>
    <w:p>
      <w:pPr>
        <w:ind w:left="1660" w:hanging="820"/>
        <w:spacing w:after="0"/>
        <w:tabs>
          <w:tab w:leader="none" w:pos="166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671"/>
        <w:spacing w:after="0" w:line="251" w:lineRule="auto"/>
        <w:tabs>
          <w:tab w:leader="none" w:pos="2551"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Rule</w:t>
      </w:r>
      <w:r>
        <w:rPr>
          <w:rFonts w:ascii="Times New Roman" w:cs="Times New Roman" w:eastAsia="Times New Roman" w:hAnsi="Times New Roman"/>
          <w:sz w:val="21"/>
          <w:szCs w:val="21"/>
          <w:color w:val="auto"/>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68" w:lineRule="exact"/>
        <w:rPr>
          <w:rFonts w:ascii="Times New Roman" w:cs="Times New Roman" w:eastAsia="Times New Roman" w:hAnsi="Times New Roman"/>
          <w:sz w:val="21"/>
          <w:szCs w:val="21"/>
          <w:color w:val="auto"/>
        </w:rPr>
      </w:pPr>
    </w:p>
    <w:p>
      <w:pPr>
        <w:jc w:val="both"/>
        <w:ind w:firstLine="1671"/>
        <w:spacing w:after="0" w:line="239" w:lineRule="auto"/>
        <w:tabs>
          <w:tab w:leader="none" w:pos="2563"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5" w:name="page366"/>
    <w:bookmarkEnd w:id="365"/>
    <w:p>
      <w:pPr>
        <w:ind w:left="2560" w:hanging="889"/>
        <w:spacing w:after="0"/>
        <w:tabs>
          <w:tab w:leader="none" w:pos="2560"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504"/>
        <w:spacing w:after="0" w:line="239" w:lineRule="auto"/>
        <w:tabs>
          <w:tab w:leader="none" w:pos="3347" w:val="left"/>
        </w:tabs>
        <w:numPr>
          <w:ilvl w:val="2"/>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2504"/>
        <w:spacing w:after="0" w:line="245" w:lineRule="auto"/>
        <w:tabs>
          <w:tab w:leader="none" w:pos="3407" w:val="left"/>
        </w:tabs>
        <w:numPr>
          <w:ilvl w:val="2"/>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77" w:lineRule="exact"/>
        <w:rPr>
          <w:rFonts w:ascii="Times New Roman" w:cs="Times New Roman" w:eastAsia="Times New Roman" w:hAnsi="Times New Roman"/>
          <w:sz w:val="21"/>
          <w:szCs w:val="21"/>
          <w:color w:val="auto"/>
        </w:rPr>
      </w:pPr>
    </w:p>
    <w:p>
      <w:pPr>
        <w:jc w:val="both"/>
        <w:ind w:firstLine="2504"/>
        <w:spacing w:after="0" w:line="234" w:lineRule="auto"/>
        <w:tabs>
          <w:tab w:leader="none" w:pos="3467" w:val="left"/>
        </w:tabs>
        <w:numPr>
          <w:ilvl w:val="2"/>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9" w:lineRule="exact"/>
        <w:rPr>
          <w:rFonts w:ascii="Times New Roman" w:cs="Times New Roman" w:eastAsia="Times New Roman" w:hAnsi="Times New Roman"/>
          <w:sz w:val="22"/>
          <w:szCs w:val="22"/>
          <w:color w:val="auto"/>
        </w:rPr>
      </w:pPr>
    </w:p>
    <w:p>
      <w:pPr>
        <w:jc w:val="both"/>
        <w:ind w:firstLine="840"/>
        <w:spacing w:after="0" w:line="238" w:lineRule="auto"/>
        <w:tabs>
          <w:tab w:leader="none" w:pos="1642"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 Agreement or other written agreement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6" w:name="page367"/>
    <w:bookmarkEnd w:id="366"/>
    <w:p>
      <w:pPr>
        <w:jc w:val="both"/>
        <w:ind w:firstLine="840"/>
        <w:spacing w:after="0" w:line="238" w:lineRule="auto"/>
        <w:tabs>
          <w:tab w:leader="none" w:pos="1642"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6" w:lineRule="exact"/>
        <w:rPr>
          <w:rFonts w:ascii="Times New Roman" w:cs="Times New Roman" w:eastAsia="Times New Roman" w:hAnsi="Times New Roman"/>
          <w:sz w:val="22"/>
          <w:szCs w:val="22"/>
          <w:color w:val="auto"/>
        </w:rPr>
      </w:pPr>
    </w:p>
    <w:p>
      <w:pPr>
        <w:ind w:left="1660" w:hanging="820"/>
        <w:spacing w:after="0"/>
        <w:tabs>
          <w:tab w:leader="none" w:pos="166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06" w:lineRule="exact"/>
        <w:rPr>
          <w:rFonts w:ascii="Times New Roman" w:cs="Times New Roman" w:eastAsia="Times New Roman" w:hAnsi="Times New Roman"/>
          <w:sz w:val="22"/>
          <w:szCs w:val="22"/>
          <w:color w:val="auto"/>
        </w:rPr>
      </w:pPr>
    </w:p>
    <w:p>
      <w:pPr>
        <w:jc w:val="both"/>
        <w:ind w:firstLine="1671"/>
        <w:spacing w:after="0" w:line="232" w:lineRule="auto"/>
        <w:tabs>
          <w:tab w:leader="none" w:pos="2551"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or any Parent or Subsidiary of the Company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2" w:lineRule="exact"/>
        <w:rPr>
          <w:rFonts w:ascii="Times New Roman" w:cs="Times New Roman" w:eastAsia="Times New Roman" w:hAnsi="Times New Roman"/>
          <w:sz w:val="22"/>
          <w:szCs w:val="22"/>
          <w:color w:val="auto"/>
        </w:rPr>
      </w:pPr>
    </w:p>
    <w:p>
      <w:pPr>
        <w:jc w:val="both"/>
        <w:ind w:firstLine="1671"/>
        <w:spacing w:after="0" w:line="247" w:lineRule="auto"/>
        <w:tabs>
          <w:tab w:leader="none" w:pos="2563"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Pursuant to such procedures as the Administrator may specify from time to time, the Service Recipient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7" w:name="page368"/>
    <w:bookmarkEnd w:id="367"/>
    <w:p>
      <w:pPr>
        <w:jc w:val="both"/>
        <w:spacing w:after="0" w:line="233" w:lineRule="auto"/>
        <w:rPr>
          <w:sz w:val="20"/>
          <w:szCs w:val="20"/>
          <w:color w:val="auto"/>
        </w:rPr>
      </w:pPr>
      <w:r>
        <w:rPr>
          <w:rFonts w:ascii="Times New Roman" w:cs="Times New Roman" w:eastAsia="Times New Roman" w:hAnsi="Times New Roman"/>
          <w:sz w:val="22"/>
          <w:szCs w:val="22"/>
          <w:color w:val="auto"/>
        </w:rPr>
        <w:t>compensation paid to Participant by the applicable Service Recipient(s), (iv) delivering to the Company Shares that Participant owns and that already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If the Tax Obligations are satisfied by withholding in Shares, for tax purposes, Participant is deemed to have been issued the full number of Shares subject to the vested Restricted Stock Units,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p>
    <w:p>
      <w:pPr>
        <w:spacing w:after="0" w:line="185" w:lineRule="exact"/>
        <w:rPr>
          <w:sz w:val="20"/>
          <w:szCs w:val="20"/>
          <w:color w:val="auto"/>
        </w:rPr>
      </w:pPr>
    </w:p>
    <w:p>
      <w:pPr>
        <w:jc w:val="both"/>
        <w:ind w:firstLine="1671"/>
        <w:spacing w:after="0" w:line="236" w:lineRule="auto"/>
        <w:tabs>
          <w:tab w:leader="none" w:pos="2551"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1" w:lineRule="exact"/>
        <w:rPr>
          <w:rFonts w:ascii="Times New Roman" w:cs="Times New Roman" w:eastAsia="Times New Roman" w:hAnsi="Times New Roman"/>
          <w:sz w:val="22"/>
          <w:szCs w:val="22"/>
          <w:color w:val="auto"/>
        </w:rPr>
      </w:pPr>
    </w:p>
    <w:p>
      <w:pPr>
        <w:jc w:val="both"/>
        <w:ind w:firstLine="1671"/>
        <w:spacing w:after="0" w:line="235" w:lineRule="auto"/>
        <w:tabs>
          <w:tab w:leader="none" w:pos="2563"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permanently will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spacing w:after="0" w:line="178" w:lineRule="exact"/>
        <w:rPr>
          <w:rFonts w:ascii="Times New Roman" w:cs="Times New Roman" w:eastAsia="Times New Roman" w:hAnsi="Times New Roman"/>
          <w:sz w:val="22"/>
          <w:szCs w:val="22"/>
          <w:color w:val="auto"/>
        </w:rPr>
      </w:pPr>
    </w:p>
    <w:p>
      <w:pPr>
        <w:jc w:val="both"/>
        <w:ind w:firstLine="840"/>
        <w:spacing w:after="0" w:line="236" w:lineRule="auto"/>
        <w:tabs>
          <w:tab w:leader="none" w:pos="1642"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8" w:name="page369"/>
    <w:bookmarkEnd w:id="368"/>
    <w:p>
      <w:pPr>
        <w:jc w:val="both"/>
        <w:ind w:firstLine="840"/>
        <w:spacing w:after="0" w:line="245" w:lineRule="auto"/>
        <w:tabs>
          <w:tab w:leader="none" w:pos="1642"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3" w:lineRule="exact"/>
        <w:rPr>
          <w:rFonts w:ascii="Times New Roman" w:cs="Times New Roman" w:eastAsia="Times New Roman" w:hAnsi="Times New Roman"/>
          <w:sz w:val="21"/>
          <w:szCs w:val="21"/>
          <w:color w:val="auto"/>
        </w:rPr>
      </w:pPr>
    </w:p>
    <w:p>
      <w:pPr>
        <w:jc w:val="both"/>
        <w:ind w:firstLine="840"/>
        <w:spacing w:after="0" w:line="236" w:lineRule="auto"/>
        <w:tabs>
          <w:tab w:leader="none" w:pos="175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1" w:lineRule="exact"/>
        <w:rPr>
          <w:rFonts w:ascii="Times New Roman" w:cs="Times New Roman" w:eastAsia="Times New Roman" w:hAnsi="Times New Roman"/>
          <w:sz w:val="22"/>
          <w:szCs w:val="22"/>
          <w:color w:val="auto"/>
        </w:rPr>
      </w:pPr>
    </w:p>
    <w:p>
      <w:pPr>
        <w:ind w:left="1760" w:hanging="920"/>
        <w:spacing w:after="0"/>
        <w:tabs>
          <w:tab w:leader="none" w:pos="176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agrees that:</w:t>
      </w:r>
    </w:p>
    <w:p>
      <w:pPr>
        <w:spacing w:after="0" w:line="182" w:lineRule="exact"/>
        <w:rPr>
          <w:rFonts w:ascii="Times New Roman" w:cs="Times New Roman" w:eastAsia="Times New Roman" w:hAnsi="Times New Roman"/>
          <w:sz w:val="22"/>
          <w:szCs w:val="22"/>
          <w:color w:val="auto"/>
        </w:rPr>
      </w:pPr>
    </w:p>
    <w:p>
      <w:pPr>
        <w:jc w:val="both"/>
        <w:ind w:firstLine="1671"/>
        <w:spacing w:after="0" w:line="244" w:lineRule="auto"/>
        <w:tabs>
          <w:tab w:leader="none" w:pos="2551"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firstLine="1671"/>
        <w:spacing w:after="0" w:line="258" w:lineRule="auto"/>
        <w:tabs>
          <w:tab w:leader="none" w:pos="2563"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560" w:hanging="889"/>
        <w:spacing w:after="0"/>
        <w:tabs>
          <w:tab w:leader="none" w:pos="2560"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firstLine="1671"/>
        <w:spacing w:after="0" w:line="258" w:lineRule="auto"/>
        <w:tabs>
          <w:tab w:leader="none" w:pos="2563"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671"/>
        <w:spacing w:after="0" w:line="239" w:lineRule="auto"/>
        <w:tabs>
          <w:tab w:leader="none" w:pos="2551"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ind w:left="2540" w:hanging="869"/>
        <w:spacing w:after="0"/>
        <w:tabs>
          <w:tab w:leader="none" w:pos="2540"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Restricted Stock Units is unknown, indeterminable and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cannot be predicted;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9" w:name="page370"/>
    <w:bookmarkEnd w:id="369"/>
    <w:p>
      <w:pPr>
        <w:jc w:val="both"/>
        <w:ind w:firstLine="1671"/>
        <w:spacing w:after="0" w:line="233" w:lineRule="auto"/>
        <w:tabs>
          <w:tab w:leader="none" w:pos="2563"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w:t>
      </w:r>
    </w:p>
    <w:p>
      <w:pPr>
        <w:spacing w:after="0" w:line="182" w:lineRule="exact"/>
        <w:rPr>
          <w:rFonts w:ascii="Times New Roman" w:cs="Times New Roman" w:eastAsia="Times New Roman" w:hAnsi="Times New Roman"/>
          <w:sz w:val="22"/>
          <w:szCs w:val="22"/>
          <w:color w:val="auto"/>
        </w:rPr>
      </w:pPr>
    </w:p>
    <w:p>
      <w:pPr>
        <w:jc w:val="both"/>
        <w:ind w:firstLine="1671"/>
        <w:spacing w:after="0" w:line="239" w:lineRule="auto"/>
        <w:tabs>
          <w:tab w:leader="none" w:pos="2563"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520" w:hanging="849"/>
        <w:spacing w:after="0"/>
        <w:tabs>
          <w:tab w:leader="none" w:pos="252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rFonts w:ascii="Times New Roman" w:cs="Times New Roman" w:eastAsia="Times New Roman" w:hAnsi="Times New Roman"/>
          <w:sz w:val="22"/>
          <w:szCs w:val="22"/>
          <w:color w:val="auto"/>
        </w:rPr>
      </w:pPr>
    </w:p>
    <w:p>
      <w:pPr>
        <w:ind w:firstLine="2504"/>
        <w:spacing w:after="0" w:line="258" w:lineRule="auto"/>
        <w:tabs>
          <w:tab w:leader="none" w:pos="3347"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w:t>
      </w:r>
    </w:p>
    <w:p>
      <w:pPr>
        <w:spacing w:after="0" w:line="158" w:lineRule="exact"/>
        <w:rPr>
          <w:rFonts w:ascii="Times New Roman" w:cs="Times New Roman" w:eastAsia="Times New Roman" w:hAnsi="Times New Roman"/>
          <w:sz w:val="22"/>
          <w:szCs w:val="22"/>
          <w:color w:val="auto"/>
        </w:rPr>
      </w:pPr>
    </w:p>
    <w:p>
      <w:pPr>
        <w:jc w:val="both"/>
        <w:ind w:firstLine="2504"/>
        <w:spacing w:after="0" w:line="239" w:lineRule="auto"/>
        <w:tabs>
          <w:tab w:leader="none" w:pos="3407"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0" w:lineRule="exact"/>
        <w:rPr>
          <w:rFonts w:ascii="Times New Roman" w:cs="Times New Roman" w:eastAsia="Times New Roman" w:hAnsi="Times New Roman"/>
          <w:sz w:val="22"/>
          <w:szCs w:val="22"/>
          <w:color w:val="auto"/>
        </w:rPr>
      </w:pPr>
    </w:p>
    <w:p>
      <w:pPr>
        <w:jc w:val="both"/>
        <w:ind w:firstLine="2504"/>
        <w:spacing w:after="0" w:line="234" w:lineRule="auto"/>
        <w:tabs>
          <w:tab w:leader="none" w:pos="3467"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0" w:name="page371"/>
    <w:bookmarkEnd w:id="370"/>
    <w:p>
      <w:pPr>
        <w:jc w:val="both"/>
        <w:ind w:firstLine="840"/>
        <w:spacing w:after="0" w:line="239" w:lineRule="auto"/>
        <w:tabs>
          <w:tab w:leader="none" w:pos="175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74" w:lineRule="exact"/>
        <w:rPr>
          <w:rFonts w:ascii="Times New Roman" w:cs="Times New Roman" w:eastAsia="Times New Roman" w:hAnsi="Times New Roman"/>
          <w:sz w:val="22"/>
          <w:szCs w:val="22"/>
          <w:color w:val="auto"/>
        </w:rPr>
      </w:pPr>
    </w:p>
    <w:p>
      <w:pPr>
        <w:jc w:val="both"/>
        <w:ind w:firstLine="840"/>
        <w:spacing w:after="0" w:line="241" w:lineRule="auto"/>
        <w:tabs>
          <w:tab w:leader="none" w:pos="175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832"/>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75" w:lineRule="exact"/>
        <w:rPr>
          <w:sz w:val="20"/>
          <w:szCs w:val="20"/>
          <w:color w:val="auto"/>
        </w:rPr>
      </w:pPr>
    </w:p>
    <w:p>
      <w:pPr>
        <w:jc w:val="both"/>
        <w:ind w:firstLine="832"/>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1" w:name="page372"/>
    <w:bookmarkEnd w:id="371"/>
    <w:p>
      <w:pPr>
        <w:jc w:val="both"/>
        <w:ind w:firstLine="840"/>
        <w:spacing w:after="0" w:line="244" w:lineRule="auto"/>
        <w:tabs>
          <w:tab w:leader="none" w:pos="175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Athira Pharma, Inc., 400 Mason Rd., Suite 300, Seattle, Washington 98195-2141, or at such other address as the Company may hereafter designate in writing.</w:t>
      </w:r>
    </w:p>
    <w:p>
      <w:pPr>
        <w:spacing w:after="0" w:line="173" w:lineRule="exact"/>
        <w:rPr>
          <w:rFonts w:ascii="Times New Roman" w:cs="Times New Roman" w:eastAsia="Times New Roman" w:hAnsi="Times New Roman"/>
          <w:sz w:val="22"/>
          <w:szCs w:val="22"/>
          <w:color w:val="auto"/>
        </w:rPr>
      </w:pPr>
    </w:p>
    <w:p>
      <w:pPr>
        <w:jc w:val="both"/>
        <w:ind w:firstLine="840"/>
        <w:spacing w:after="0" w:line="238" w:lineRule="auto"/>
        <w:tabs>
          <w:tab w:leader="none" w:pos="175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6" w:lineRule="exact"/>
        <w:rPr>
          <w:rFonts w:ascii="Times New Roman" w:cs="Times New Roman" w:eastAsia="Times New Roman" w:hAnsi="Times New Roman"/>
          <w:sz w:val="22"/>
          <w:szCs w:val="22"/>
          <w:color w:val="auto"/>
        </w:rPr>
      </w:pPr>
    </w:p>
    <w:p>
      <w:pPr>
        <w:jc w:val="both"/>
        <w:ind w:firstLine="840"/>
        <w:spacing w:after="0" w:line="233" w:lineRule="auto"/>
        <w:tabs>
          <w:tab w:leader="none" w:pos="175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4" w:lineRule="exact"/>
        <w:rPr>
          <w:rFonts w:ascii="Times New Roman" w:cs="Times New Roman" w:eastAsia="Times New Roman" w:hAnsi="Times New Roman"/>
          <w:sz w:val="22"/>
          <w:szCs w:val="22"/>
          <w:color w:val="auto"/>
        </w:rPr>
      </w:pPr>
    </w:p>
    <w:p>
      <w:pPr>
        <w:jc w:val="both"/>
        <w:ind w:firstLine="840"/>
        <w:spacing w:after="0" w:line="244" w:lineRule="auto"/>
        <w:tabs>
          <w:tab w:leader="none" w:pos="175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firstLine="840"/>
        <w:spacing w:after="0" w:line="235" w:lineRule="auto"/>
        <w:tabs>
          <w:tab w:leader="none" w:pos="175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3" w:lineRule="exact"/>
        <w:rPr>
          <w:rFonts w:ascii="Times New Roman" w:cs="Times New Roman" w:eastAsia="Times New Roman" w:hAnsi="Times New Roman"/>
          <w:sz w:val="22"/>
          <w:szCs w:val="22"/>
          <w:color w:val="auto"/>
        </w:rPr>
      </w:pPr>
    </w:p>
    <w:p>
      <w:pPr>
        <w:jc w:val="both"/>
        <w:ind w:firstLine="840"/>
        <w:spacing w:after="0" w:line="238" w:lineRule="auto"/>
        <w:tabs>
          <w:tab w:leader="none" w:pos="175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2" w:name="page373"/>
    <w:bookmarkEnd w:id="372"/>
    <w:p>
      <w:pPr>
        <w:ind w:firstLine="840"/>
        <w:spacing w:after="0" w:line="258" w:lineRule="auto"/>
        <w:tabs>
          <w:tab w:leader="none" w:pos="175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rFonts w:ascii="Times New Roman" w:cs="Times New Roman" w:eastAsia="Times New Roman" w:hAnsi="Times New Roman"/>
          <w:sz w:val="22"/>
          <w:szCs w:val="22"/>
          <w:color w:val="auto"/>
        </w:rPr>
      </w:pPr>
    </w:p>
    <w:p>
      <w:pPr>
        <w:jc w:val="both"/>
        <w:ind w:firstLine="840"/>
        <w:spacing w:after="0" w:line="239" w:lineRule="auto"/>
        <w:tabs>
          <w:tab w:leader="none" w:pos="175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rFonts w:ascii="Times New Roman" w:cs="Times New Roman" w:eastAsia="Times New Roman" w:hAnsi="Times New Roman"/>
          <w:sz w:val="22"/>
          <w:szCs w:val="22"/>
          <w:color w:val="auto"/>
        </w:rPr>
      </w:pPr>
    </w:p>
    <w:p>
      <w:pPr>
        <w:jc w:val="both"/>
        <w:ind w:firstLine="840"/>
        <w:spacing w:after="0" w:line="235" w:lineRule="auto"/>
        <w:tabs>
          <w:tab w:leader="none" w:pos="175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3" w:lineRule="exact"/>
        <w:rPr>
          <w:rFonts w:ascii="Times New Roman" w:cs="Times New Roman" w:eastAsia="Times New Roman" w:hAnsi="Times New Roman"/>
          <w:sz w:val="22"/>
          <w:szCs w:val="22"/>
          <w:color w:val="auto"/>
        </w:rPr>
      </w:pPr>
    </w:p>
    <w:p>
      <w:pPr>
        <w:jc w:val="both"/>
        <w:ind w:firstLine="840"/>
        <w:spacing w:after="0" w:line="235" w:lineRule="auto"/>
        <w:tabs>
          <w:tab w:leader="none" w:pos="175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8" w:lineRule="exact"/>
        <w:rPr>
          <w:rFonts w:ascii="Times New Roman" w:cs="Times New Roman" w:eastAsia="Times New Roman" w:hAnsi="Times New Roman"/>
          <w:sz w:val="22"/>
          <w:szCs w:val="22"/>
          <w:color w:val="auto"/>
        </w:rPr>
      </w:pPr>
    </w:p>
    <w:p>
      <w:pPr>
        <w:jc w:val="both"/>
        <w:ind w:firstLine="840"/>
        <w:spacing w:after="0" w:line="239" w:lineRule="auto"/>
        <w:tabs>
          <w:tab w:leader="none" w:pos="175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rFonts w:ascii="Times New Roman" w:cs="Times New Roman" w:eastAsia="Times New Roman" w:hAnsi="Times New Roman"/>
          <w:sz w:val="22"/>
          <w:szCs w:val="22"/>
          <w:color w:val="auto"/>
        </w:rPr>
      </w:pPr>
    </w:p>
    <w:p>
      <w:pPr>
        <w:jc w:val="both"/>
        <w:ind w:firstLine="840"/>
        <w:spacing w:after="0" w:line="239" w:lineRule="auto"/>
        <w:tabs>
          <w:tab w:leader="none" w:pos="175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80" w:lineRule="exact"/>
        <w:rPr>
          <w:rFonts w:ascii="Times New Roman" w:cs="Times New Roman" w:eastAsia="Times New Roman" w:hAnsi="Times New Roman"/>
          <w:sz w:val="22"/>
          <w:szCs w:val="22"/>
          <w:color w:val="auto"/>
        </w:rPr>
      </w:pPr>
    </w:p>
    <w:p>
      <w:pPr>
        <w:jc w:val="both"/>
        <w:ind w:firstLine="840"/>
        <w:spacing w:after="0" w:line="238" w:lineRule="auto"/>
        <w:tabs>
          <w:tab w:leader="none" w:pos="175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6"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3" w:name="page374"/>
    <w:bookmarkEnd w:id="37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COUNTRY ADDENDUM TO RESTRICTED STOCK UNIT AGREEMENT</w:t>
      </w:r>
    </w:p>
    <w:p>
      <w:pPr>
        <w:spacing w:after="0" w:line="210" w:lineRule="exact"/>
        <w:rPr>
          <w:sz w:val="20"/>
          <w:szCs w:val="20"/>
          <w:color w:val="auto"/>
        </w:rPr>
      </w:pPr>
    </w:p>
    <w:p>
      <w:pPr>
        <w:jc w:val="both"/>
        <w:ind w:firstLine="832"/>
        <w:spacing w:after="0" w:line="239"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Unit Agreement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will be ascribed the same defined meanings as set forth in the Restricted Stock Unit Agreement of which this Country Addendum forms a part (or the Plan or other written agreement as specified in the Restricted Stock Unit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832"/>
        <w:spacing w:after="0" w:line="235"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Units granted pursuant to the terms and conditions of the Athira Pharma, Inc. 2020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Restricted Stock Unit Agreement to which this Country Addendum is attached (the “</w:t>
      </w:r>
      <w:r>
        <w:rPr>
          <w:rFonts w:ascii="Times New Roman" w:cs="Times New Roman" w:eastAsia="Times New Roman" w:hAnsi="Times New Roman"/>
          <w:sz w:val="22"/>
          <w:szCs w:val="22"/>
          <w:u w:val="single" w:color="auto"/>
          <w:color w:val="auto"/>
        </w:rPr>
        <w:t>Restricted Stock Unit Agreement</w:t>
      </w:r>
      <w:r>
        <w:rPr>
          <w:rFonts w:ascii="Times New Roman" w:cs="Times New Roman" w:eastAsia="Times New Roman" w:hAnsi="Times New Roman"/>
          <w:sz w:val="22"/>
          <w:szCs w:val="22"/>
          <w:color w:val="auto"/>
        </w:rPr>
        <w:t>”) to the extent the individual to whom the Restricted Stock Units were granted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Units is granted, the Company, in its discretion, will determine to what extent the terms and conditions contained herein will apply to the Participant.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832"/>
        <w:spacing w:after="0" w:line="238" w:lineRule="auto"/>
        <w:rPr>
          <w:sz w:val="20"/>
          <w:szCs w:val="20"/>
          <w:color w:val="auto"/>
        </w:rPr>
      </w:pPr>
      <w:r>
        <w:rPr>
          <w:rFonts w:ascii="Times New Roman" w:cs="Times New Roman" w:eastAsia="Times New Roman" w:hAnsi="Times New Roman"/>
          <w:sz w:val="22"/>
          <w:szCs w:val="22"/>
          <w:color w:val="auto"/>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2020. Such Applicable Laws</w:t>
      </w:r>
    </w:p>
    <w:p>
      <w:pPr>
        <w:jc w:val="both"/>
        <w:spacing w:after="0" w:line="234" w:lineRule="auto"/>
        <w:rPr>
          <w:sz w:val="20"/>
          <w:szCs w:val="20"/>
          <w:color w:val="auto"/>
        </w:rPr>
      </w:pPr>
      <w:r>
        <w:rPr>
          <w:rFonts w:ascii="Times New Roman" w:cs="Times New Roman" w:eastAsia="Times New Roman" w:hAnsi="Times New Roman"/>
          <w:sz w:val="22"/>
          <w:szCs w:val="22"/>
          <w:color w:val="auto"/>
        </w:rPr>
        <w:t>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177" w:lineRule="exact"/>
        <w:rPr>
          <w:sz w:val="20"/>
          <w:szCs w:val="20"/>
          <w:color w:val="auto"/>
        </w:rPr>
      </w:pPr>
    </w:p>
    <w:p>
      <w:pPr>
        <w:jc w:val="both"/>
        <w:ind w:firstLine="832"/>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832"/>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w:t>
      </w:r>
    </w:p>
    <w:p>
      <w:pPr>
        <w:sectPr>
          <w:pgSz w:w="11900" w:h="16838" w:orient="portrait"/>
          <w:cols w:equalWidth="0" w:num="1">
            <w:col w:w="11240"/>
          </w:cols>
          <w:pgMar w:left="320" w:top="324" w:right="33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EMPLOYEE STOCK PURCHASE PLAN</w:t>
      </w:r>
    </w:p>
    <w:p>
      <w:pPr>
        <w:spacing w:after="0" w:line="210" w:lineRule="exact"/>
        <w:rPr>
          <w:sz w:val="20"/>
          <w:szCs w:val="20"/>
          <w:color w:val="auto"/>
        </w:rPr>
      </w:pPr>
    </w:p>
    <w:p>
      <w:pPr>
        <w:jc w:val="both"/>
        <w:ind w:firstLine="840"/>
        <w:spacing w:after="0" w:line="255" w:lineRule="exact"/>
        <w:tabs>
          <w:tab w:leader="none" w:pos="164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Times New Roman" w:cs="Times New Roman" w:eastAsia="Times New Roman" w:hAnsi="Times New Roman"/>
          <w:sz w:val="22"/>
          <w:szCs w:val="22"/>
          <w:u w:val="single" w:color="auto"/>
          <w:color w:val="auto"/>
        </w:rPr>
        <w:t>423 Component</w:t>
      </w:r>
      <w:r>
        <w:rPr>
          <w:rFonts w:ascii="Times New Roman" w:cs="Times New Roman" w:eastAsia="Times New Roman" w:hAnsi="Times New Roman"/>
          <w:sz w:val="22"/>
          <w:szCs w:val="22"/>
          <w:color w:val="auto"/>
        </w:rPr>
        <w:t>”) and a component that is not intended to qualify as an “employee stock purchase plan” under Code Section 423 (the “</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423 Component</w:t>
      </w:r>
      <w:r>
        <w:rPr>
          <w:rFonts w:ascii="Times New Roman" w:cs="Times New Roman" w:eastAsia="Times New Roman" w:hAnsi="Times New Roman"/>
          <w:sz w:val="22"/>
          <w:szCs w:val="22"/>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that does not qualify as an “employee stock purchase plan” under Code Section 423; an option granted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will provide for substantially the same benefits as an option granted under the 423 Component, except that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option may include features necessary to comply with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pursuant to rules, procedures or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plans adopted by the Administrator. Except as otherwise provided herein or by the Administrator,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will operate and be administered in the same manner as the 423 Component.</w:t>
      </w:r>
    </w:p>
    <w:p>
      <w:pPr>
        <w:spacing w:after="0" w:line="164" w:lineRule="exact"/>
        <w:rPr>
          <w:rFonts w:ascii="Times New Roman" w:cs="Times New Roman" w:eastAsia="Times New Roman" w:hAnsi="Times New Roman"/>
          <w:sz w:val="22"/>
          <w:szCs w:val="22"/>
          <w:color w:val="auto"/>
        </w:rPr>
      </w:pPr>
    </w:p>
    <w:p>
      <w:pPr>
        <w:ind w:left="1660" w:hanging="820"/>
        <w:spacing w:after="0"/>
        <w:tabs>
          <w:tab w:leader="none" w:pos="166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any Committee designated by the Board to administer the Plan pursuant to Section 3.</w:t>
      </w:r>
    </w:p>
    <w:p>
      <w:pPr>
        <w:spacing w:after="0" w:line="158" w:lineRule="exact"/>
        <w:rPr>
          <w:sz w:val="20"/>
          <w:szCs w:val="20"/>
          <w:color w:val="auto"/>
        </w:rPr>
      </w:pPr>
    </w:p>
    <w:p>
      <w:pPr>
        <w:jc w:val="both"/>
        <w:ind w:firstLine="1663"/>
        <w:spacing w:after="0" w:line="257" w:lineRule="exact"/>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country or jurisdiction where options are, or will be, granted under the Plan.</w:t>
      </w:r>
    </w:p>
    <w:p>
      <w:pPr>
        <w:spacing w:after="0" w:line="177"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06"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06" w:lineRule="exact"/>
        <w:rPr>
          <w:sz w:val="20"/>
          <w:szCs w:val="20"/>
          <w:color w:val="auto"/>
        </w:rPr>
      </w:pPr>
    </w:p>
    <w:p>
      <w:pPr>
        <w:jc w:val="both"/>
        <w:ind w:firstLine="2504"/>
        <w:spacing w:after="0" w:line="234" w:lineRule="auto"/>
        <w:tabs>
          <w:tab w:leader="none" w:pos="3383"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4946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5" w:name="page376"/>
    <w:bookmarkEnd w:id="375"/>
    <w:p>
      <w:pPr>
        <w:jc w:val="both"/>
        <w:spacing w:after="0" w:line="236" w:lineRule="auto"/>
        <w:rPr>
          <w:sz w:val="20"/>
          <w:szCs w:val="20"/>
          <w:color w:val="auto"/>
        </w:rPr>
      </w:pPr>
      <w:r>
        <w:rPr>
          <w:rFonts w:ascii="Times New Roman" w:cs="Times New Roman" w:eastAsia="Times New Roman" w:hAnsi="Times New Roman"/>
          <w:sz w:val="22"/>
          <w:szCs w:val="22"/>
          <w:color w:val="auto"/>
        </w:rPr>
        <w:t>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1" w:lineRule="exact"/>
        <w:rPr>
          <w:sz w:val="20"/>
          <w:szCs w:val="20"/>
          <w:color w:val="auto"/>
        </w:rPr>
      </w:pPr>
    </w:p>
    <w:p>
      <w:pPr>
        <w:jc w:val="both"/>
        <w:ind w:firstLine="2504"/>
        <w:spacing w:after="0" w:line="236" w:lineRule="auto"/>
        <w:tabs>
          <w:tab w:leader="none" w:pos="3395"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1" w:lineRule="exact"/>
        <w:rPr>
          <w:rFonts w:ascii="Times New Roman" w:cs="Times New Roman" w:eastAsia="Times New Roman" w:hAnsi="Times New Roman"/>
          <w:sz w:val="22"/>
          <w:szCs w:val="22"/>
          <w:color w:val="auto"/>
        </w:rPr>
      </w:pPr>
    </w:p>
    <w:p>
      <w:pPr>
        <w:jc w:val="both"/>
        <w:ind w:firstLine="2504"/>
        <w:spacing w:after="0" w:line="245" w:lineRule="auto"/>
        <w:tabs>
          <w:tab w:leader="none" w:pos="3383"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a Substantial Portion of the Company’s Assets</w:t>
      </w:r>
      <w:r>
        <w:rPr>
          <w:rFonts w:ascii="Times New Roman" w:cs="Times New Roman" w:eastAsia="Times New Roman" w:hAnsi="Times New Roman"/>
          <w:sz w:val="21"/>
          <w:szCs w:val="21"/>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284"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6" w:name="page377"/>
    <w:bookmarkEnd w:id="376"/>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80"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a committee of the Board appointed in accordance with Section 3 hereof.</w:t>
      </w:r>
    </w:p>
    <w:p>
      <w:pPr>
        <w:spacing w:after="0" w:line="206"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of the Company.</w:t>
      </w:r>
    </w:p>
    <w:p>
      <w:pPr>
        <w:spacing w:after="0" w:line="206" w:lineRule="exact"/>
        <w:rPr>
          <w:sz w:val="20"/>
          <w:szCs w:val="20"/>
          <w:color w:val="auto"/>
        </w:rPr>
      </w:pPr>
    </w:p>
    <w:p>
      <w:pPr>
        <w:ind w:left="1680"/>
        <w:spacing w:after="0"/>
        <w:tabs>
          <w:tab w:leader="none" w:pos="256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Athira Pharma, Inc., a Delaware corporation, or any successor thereto.</w:t>
      </w:r>
    </w:p>
    <w:p>
      <w:pPr>
        <w:spacing w:after="0" w:line="206"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80"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Contributions</w:t>
      </w:r>
      <w:r>
        <w:rPr>
          <w:rFonts w:ascii="Times New Roman" w:cs="Times New Roman" w:eastAsia="Times New Roman" w:hAnsi="Times New Roman"/>
          <w:sz w:val="22"/>
          <w:szCs w:val="22"/>
          <w:color w:val="auto"/>
        </w:rPr>
        <w:t>” means the payroll deductions and other additional payments that the Company may permit to be made by a Participant to fund the exercise of options granted pursuant to the Plan.</w:t>
      </w:r>
    </w:p>
    <w:p>
      <w:pPr>
        <w:spacing w:after="0" w:line="158" w:lineRule="exact"/>
        <w:rPr>
          <w:sz w:val="20"/>
          <w:szCs w:val="20"/>
          <w:color w:val="auto"/>
        </w:rPr>
      </w:pPr>
    </w:p>
    <w:p>
      <w:pPr>
        <w:jc w:val="both"/>
        <w:ind w:firstLine="1663"/>
        <w:spacing w:after="0" w:line="262" w:lineRule="exact"/>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u w:val="single" w:color="auto"/>
          <w:color w:val="auto"/>
        </w:rPr>
        <w:t>Designated Company</w:t>
      </w:r>
      <w:r>
        <w:rPr>
          <w:rFonts w:ascii="Times New Roman" w:cs="Times New Roman" w:eastAsia="Times New Roman" w:hAnsi="Times New Roman"/>
          <w:sz w:val="22"/>
          <w:szCs w:val="22"/>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w:t>
      </w:r>
    </w:p>
    <w:p>
      <w:pPr>
        <w:spacing w:after="0" w:line="156"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206" w:lineRule="exact"/>
        <w:rPr>
          <w:sz w:val="20"/>
          <w:szCs w:val="20"/>
          <w:color w:val="auto"/>
        </w:rPr>
      </w:pPr>
    </w:p>
    <w:p>
      <w:pPr>
        <w:jc w:val="both"/>
        <w:ind w:firstLine="1663"/>
        <w:spacing w:after="0" w:line="249" w:lineRule="exact"/>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7" w:name="page378"/>
    <w:bookmarkEnd w:id="377"/>
    <w:p>
      <w:pPr>
        <w:jc w:val="both"/>
        <w:spacing w:after="0" w:line="249" w:lineRule="exact"/>
        <w:rPr>
          <w:sz w:val="20"/>
          <w:szCs w:val="20"/>
          <w:color w:val="auto"/>
        </w:rPr>
      </w:pPr>
      <w:r>
        <w:rPr>
          <w:rFonts w:ascii="Times New Roman" w:cs="Times New Roman" w:eastAsia="Times New Roman" w:hAnsi="Times New Roman"/>
          <w:sz w:val="22"/>
          <w:szCs w:val="22"/>
          <w:color w:val="auto"/>
        </w:rPr>
        <w:t>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2(e)(2)(ii). Such exclusions may be applied with respect to an Offering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without regard to the limitations of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p>
      <w:pPr>
        <w:spacing w:after="0" w:line="170"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means the employer of the applicable Eligible Employee(s).</w:t>
      </w:r>
    </w:p>
    <w:p>
      <w:pPr>
        <w:spacing w:after="0" w:line="206"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Enrollment Date</w:t>
      </w:r>
      <w:r>
        <w:rPr>
          <w:rFonts w:ascii="Times New Roman" w:cs="Times New Roman" w:eastAsia="Times New Roman" w:hAnsi="Times New Roman"/>
          <w:sz w:val="21"/>
          <w:szCs w:val="21"/>
          <w:color w:val="auto"/>
        </w:rPr>
        <w:t>” means the first Trading Day of each Offering Period.</w:t>
      </w:r>
    </w:p>
    <w:p>
      <w:pPr>
        <w:spacing w:after="0" w:line="206"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58" w:lineRule="exact"/>
        <w:rPr>
          <w:sz w:val="20"/>
          <w:szCs w:val="20"/>
          <w:color w:val="auto"/>
        </w:rPr>
      </w:pPr>
    </w:p>
    <w:p>
      <w:pPr>
        <w:jc w:val="both"/>
        <w:ind w:firstLine="1663"/>
        <w:spacing w:after="0" w:line="236"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Exercise Date</w:t>
      </w:r>
      <w:r>
        <w:rPr>
          <w:rFonts w:ascii="Times New Roman" w:cs="Times New Roman" w:eastAsia="Times New Roman" w:hAnsi="Times New Roman"/>
          <w:sz w:val="22"/>
          <w:szCs w:val="22"/>
          <w:color w:val="auto"/>
        </w:rPr>
        <w:t>” means the first Trading Day on or after May 18th and November 18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each Offering Period, provided that the first Exercise Date under the Plan will be the first Trading Day on or after May 18, 2021.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81"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58" w:lineRule="exact"/>
        <w:rPr>
          <w:sz w:val="20"/>
          <w:szCs w:val="20"/>
          <w:color w:val="auto"/>
        </w:rPr>
      </w:pPr>
    </w:p>
    <w:p>
      <w:pPr>
        <w:jc w:val="both"/>
        <w:ind w:firstLine="2504"/>
        <w:spacing w:after="0" w:line="236" w:lineRule="auto"/>
        <w:tabs>
          <w:tab w:leader="none" w:pos="3383"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8" w:name="page379"/>
    <w:bookmarkEnd w:id="378"/>
    <w:p>
      <w:pPr>
        <w:jc w:val="both"/>
        <w:ind w:firstLine="2504"/>
        <w:spacing w:after="0" w:line="238" w:lineRule="auto"/>
        <w:tabs>
          <w:tab w:leader="none" w:pos="3395"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76" w:lineRule="exact"/>
        <w:rPr>
          <w:rFonts w:ascii="Times New Roman" w:cs="Times New Roman" w:eastAsia="Times New Roman" w:hAnsi="Times New Roman"/>
          <w:sz w:val="22"/>
          <w:szCs w:val="22"/>
          <w:color w:val="auto"/>
        </w:rPr>
      </w:pPr>
    </w:p>
    <w:p>
      <w:pPr>
        <w:jc w:val="both"/>
        <w:ind w:firstLine="2504"/>
        <w:spacing w:after="0" w:line="257" w:lineRule="exact"/>
        <w:tabs>
          <w:tab w:leader="none" w:pos="3383"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Enrollment Date of the first Offering Period under the Plan, the Fair Market Value will be the initial price to the public as set forth in the final prospectus included within the registration statement on Form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filed with the Securities and Exchange Commission for the initial public offering of the Common Stock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or</w:t>
      </w:r>
    </w:p>
    <w:p>
      <w:pPr>
        <w:spacing w:after="0" w:line="176" w:lineRule="exact"/>
        <w:rPr>
          <w:rFonts w:ascii="Times New Roman" w:cs="Times New Roman" w:eastAsia="Times New Roman" w:hAnsi="Times New Roman"/>
          <w:sz w:val="22"/>
          <w:szCs w:val="22"/>
          <w:color w:val="auto"/>
        </w:rPr>
      </w:pPr>
    </w:p>
    <w:p>
      <w:pPr>
        <w:ind w:right="20" w:firstLine="2504"/>
        <w:spacing w:after="0" w:line="258" w:lineRule="auto"/>
        <w:tabs>
          <w:tab w:leader="none" w:pos="3395"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jc w:val="both"/>
        <w:ind w:right="240" w:firstLine="1663"/>
        <w:spacing w:after="0" w:line="244" w:lineRule="auto"/>
        <w:rPr>
          <w:sz w:val="20"/>
          <w:szCs w:val="20"/>
          <w:color w:val="auto"/>
        </w:rPr>
      </w:pPr>
      <w:r>
        <w:rPr>
          <w:rFonts w:ascii="Times New Roman" w:cs="Times New Roman" w:eastAsia="Times New Roman" w:hAnsi="Times New Roman"/>
          <w:sz w:val="22"/>
          <w:szCs w:val="22"/>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73"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the fiscal year of the Company.</w:t>
      </w:r>
    </w:p>
    <w:p>
      <w:pPr>
        <w:spacing w:after="0" w:line="206"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u w:val="single" w:color="auto"/>
          <w:color w:val="auto"/>
        </w:rPr>
        <w:t>New Exercise Date</w:t>
      </w:r>
      <w:r>
        <w:rPr>
          <w:rFonts w:ascii="Times New Roman" w:cs="Times New Roman" w:eastAsia="Times New Roman" w:hAnsi="Times New Roman"/>
          <w:sz w:val="22"/>
          <w:szCs w:val="22"/>
          <w:color w:val="auto"/>
        </w:rPr>
        <w:t>” means a new Exercise Date if the Administrator shortens any Offering Period then in progress.</w:t>
      </w:r>
    </w:p>
    <w:p>
      <w:pPr>
        <w:spacing w:after="0" w:line="158" w:lineRule="exact"/>
        <w:rPr>
          <w:sz w:val="20"/>
          <w:szCs w:val="20"/>
          <w:color w:val="auto"/>
        </w:rPr>
      </w:pPr>
    </w:p>
    <w:p>
      <w:pPr>
        <w:jc w:val="both"/>
        <w:ind w:firstLine="1663"/>
        <w:spacing w:after="0" w:line="256" w:lineRule="exact"/>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2(a)(1), the terms of each Offering need not be identical provided that the terms of the Plan and an Offering together satisfy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2(a)(2) and (a)(3).</w:t>
      </w:r>
    </w:p>
    <w:p>
      <w:pPr>
        <w:spacing w:after="0" w:line="158" w:lineRule="exact"/>
        <w:rPr>
          <w:sz w:val="20"/>
          <w:szCs w:val="20"/>
          <w:color w:val="auto"/>
        </w:rPr>
      </w:pPr>
    </w:p>
    <w:p>
      <w:pPr>
        <w:jc w:val="both"/>
        <w:ind w:firstLine="1663"/>
        <w:spacing w:after="0" w:line="235"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u w:val="single" w:color="auto"/>
          <w:color w:val="auto"/>
        </w:rPr>
        <w:t>Offering Periods</w:t>
      </w:r>
      <w:r>
        <w:rPr>
          <w:rFonts w:ascii="Times New Roman" w:cs="Times New Roman" w:eastAsia="Times New Roman" w:hAnsi="Times New Roman"/>
          <w:sz w:val="22"/>
          <w:szCs w:val="22"/>
          <w:color w:val="auto"/>
        </w:rPr>
        <w:t>” means the consecutive periods of approximately six (6) months during which an option granted pursuant to the Plan may be exercised, commencing on the first Trading Day on or after May 18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and November 18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each year and terminating on the first Trading Day on or after November 18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and May 18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approximately six (6) months later; provided, however, that the first Offering Period under the Plan will commence with the first Trading Day on or after the date on which the Securities and Exchange Commission declares the Company’s Registration Statement effective and will end on the first Trading Day on or after May 18, 2021, and provided, further, that the second Offering Period under the Plan will commence on the first Trading Day on or after May 18, 2021. The duration and timing of Offering Periods may be changed pursuant to Sections 6 and 18.</w:t>
      </w:r>
    </w:p>
    <w:p>
      <w:pPr>
        <w:spacing w:after="0" w:line="178"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w:t>
      </w:r>
      <w:r>
        <w:rPr>
          <w:rFonts w:ascii="Times New Roman" w:cs="Times New Roman" w:eastAsia="Times New Roman" w:hAnsi="Times New Roman"/>
          <w:sz w:val="22"/>
          <w:szCs w:val="22"/>
          <w:u w:val="single" w:color="auto"/>
          <w:color w:val="auto"/>
        </w:rPr>
        <w:t>parent corporation,</w:t>
      </w:r>
      <w:r>
        <w:rPr>
          <w:rFonts w:ascii="Times New Roman" w:cs="Times New Roman" w:eastAsia="Times New Roman" w:hAnsi="Times New Roman"/>
          <w:sz w:val="22"/>
          <w:szCs w:val="22"/>
          <w:color w:val="auto"/>
        </w:rPr>
        <w:t>” whether now or hereafter existing, as defined in Code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9" w:name="page380"/>
    <w:bookmarkEnd w:id="379"/>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 Eligible Employee that participates in the Plan.</w:t>
      </w:r>
    </w:p>
    <w:p>
      <w:pPr>
        <w:spacing w:after="0" w:line="206" w:lineRule="exact"/>
        <w:rPr>
          <w:sz w:val="20"/>
          <w:szCs w:val="20"/>
          <w:color w:val="auto"/>
        </w:rPr>
      </w:pPr>
    </w:p>
    <w:p>
      <w:pPr>
        <w:ind w:left="1680"/>
        <w:spacing w:after="0"/>
        <w:tabs>
          <w:tab w:leader="none" w:pos="268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Athira Pharma, Inc. 2020 Employee Stock Purchase Plan.</w:t>
      </w:r>
    </w:p>
    <w:p>
      <w:pPr>
        <w:spacing w:after="0" w:line="206" w:lineRule="exact"/>
        <w:rPr>
          <w:sz w:val="20"/>
          <w:szCs w:val="20"/>
          <w:color w:val="auto"/>
        </w:rPr>
      </w:pPr>
    </w:p>
    <w:p>
      <w:pPr>
        <w:jc w:val="both"/>
        <w:ind w:firstLine="1663"/>
        <w:spacing w:after="0" w:line="236" w:lineRule="auto"/>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u w:val="single" w:color="auto"/>
          <w:color w:val="auto"/>
        </w:rPr>
        <w:t>Purchase Period</w:t>
      </w:r>
      <w:r>
        <w:rPr>
          <w:rFonts w:ascii="Times New Roman" w:cs="Times New Roman" w:eastAsia="Times New Roman" w:hAnsi="Times New Roman"/>
          <w:sz w:val="22"/>
          <w:szCs w:val="22"/>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61" w:lineRule="exact"/>
        <w:rPr>
          <w:sz w:val="20"/>
          <w:szCs w:val="20"/>
          <w:color w:val="auto"/>
        </w:rPr>
      </w:pPr>
    </w:p>
    <w:p>
      <w:pPr>
        <w:jc w:val="both"/>
        <w:ind w:firstLine="1663"/>
        <w:spacing w:after="0" w:line="258" w:lineRule="exact"/>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an amount equal to eighty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percent (85%) of the Fair Market Value of a share of Common Stock on the Enrollment Date or on the Exercise Date, whichever is lower; provided however, that the Purchase Price may be determined for subsequent Offering Periods by the Administrator subject to compliance with Code Section 423 (or any successor rule or provision or any other Applicable Law, regulation or stock exchange rule) or pursuant to Section 18.</w:t>
      </w:r>
    </w:p>
    <w:p>
      <w:pPr>
        <w:spacing w:after="0" w:line="179"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u w:val="single" w:color="auto"/>
          <w:color w:val="auto"/>
        </w:rPr>
        <w:t>Registration Date</w:t>
      </w:r>
      <w:r>
        <w:rPr>
          <w:rFonts w:ascii="Times New Roman" w:cs="Times New Roman" w:eastAsia="Times New Roman" w:hAnsi="Times New Roman"/>
          <w:sz w:val="22"/>
          <w:szCs w:val="22"/>
          <w:color w:val="auto"/>
        </w:rPr>
        <w:t>” means the effective date of the first registration statement that is filed by the Company and declared effective pursuant to Section 12(b) of the Exchange Act, with respect to any class of the Company’s securities.</w:t>
      </w:r>
    </w:p>
    <w:p>
      <w:pPr>
        <w:spacing w:after="0" w:line="173"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58"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whether now or hereafter existing, as defined in Code Section 424(f).</w:t>
      </w:r>
    </w:p>
    <w:p>
      <w:pPr>
        <w:spacing w:after="0" w:line="158" w:lineRule="exact"/>
        <w:rPr>
          <w:sz w:val="20"/>
          <w:szCs w:val="20"/>
          <w:color w:val="auto"/>
        </w:rPr>
      </w:pPr>
    </w:p>
    <w:p>
      <w:pPr>
        <w:jc w:val="both"/>
        <w:ind w:right="20" w:firstLine="1663"/>
        <w:spacing w:after="0" w:line="244" w:lineRule="auto"/>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73"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u w:val="single" w:color="auto"/>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ind w:left="1660" w:hanging="820"/>
        <w:spacing w:after="0"/>
        <w:tabs>
          <w:tab w:leader="none" w:pos="166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 Subject to adjustment upon changes in capitalization of the Company as provided in Section 17 hereof, the maximum number of shares of Common Stock that will be made available for sale under the Plan will be equal to 323,000 shares of Common Stock.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0" w:name="page381"/>
    <w:bookmarkEnd w:id="380"/>
    <w:p>
      <w:pPr>
        <w:jc w:val="both"/>
        <w:ind w:firstLine="1663"/>
        <w:spacing w:after="0" w:line="23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Automatic Share Reserve Increase</w:t>
      </w:r>
      <w:r>
        <w:rPr>
          <w:rFonts w:ascii="Times New Roman" w:cs="Times New Roman" w:eastAsia="Times New Roman" w:hAnsi="Times New Roman"/>
          <w:sz w:val="22"/>
          <w:szCs w:val="22"/>
          <w:color w:val="auto"/>
        </w:rPr>
        <w:t>. Subject to adjustment upon changes in capitalization of the Company as provided in Section 17 hereof, the number of shares of Common Stock available for issuance under the Plan will be increased on the first day of each Fiscal Year beginning with the 2021 Fiscal Year in an amount equal to the least of</w:t>
      </w:r>
    </w:p>
    <w:p>
      <w:pPr>
        <w:jc w:val="both"/>
        <w:ind w:firstLine="8"/>
        <w:spacing w:after="0" w:line="234" w:lineRule="auto"/>
        <w:tabs>
          <w:tab w:leader="none" w:pos="307"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646,000 shares of Common Stock, (b) one percent (1%) of the outstanding shares of Common Stock on the last day of the immediately preceding Fiscal Year, or (c) such number of Shares determined by the Board no later than the last day of the immediately preceding Fiscal Year. The shares of Common Stock may be authorized, but unissued, or reacquired Common Stock.</w:t>
      </w:r>
    </w:p>
    <w:p>
      <w:pPr>
        <w:spacing w:after="0" w:line="177" w:lineRule="exact"/>
        <w:rPr>
          <w:rFonts w:ascii="Times New Roman" w:cs="Times New Roman" w:eastAsia="Times New Roman" w:hAnsi="Times New Roman"/>
          <w:sz w:val="22"/>
          <w:szCs w:val="22"/>
          <w:color w:val="auto"/>
        </w:rPr>
      </w:pPr>
    </w:p>
    <w:p>
      <w:pPr>
        <w:jc w:val="both"/>
        <w:ind w:firstLine="840"/>
        <w:spacing w:after="0" w:line="244" w:lineRule="auto"/>
        <w:tabs>
          <w:tab w:leader="none" w:pos="1642"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Plan will be administered by the Board or a Committee appointed by the Board, which Committee will be constituted to comply with Applicable Laws. The Administrator will have full and exclusive discretionary authority to</w:t>
      </w:r>
    </w:p>
    <w:p>
      <w:pPr>
        <w:spacing w:after="0" w:line="173" w:lineRule="exact"/>
        <w:rPr>
          <w:rFonts w:ascii="Times New Roman" w:cs="Times New Roman" w:eastAsia="Times New Roman" w:hAnsi="Times New Roman"/>
          <w:sz w:val="22"/>
          <w:szCs w:val="22"/>
          <w:color w:val="auto"/>
        </w:rPr>
      </w:pPr>
    </w:p>
    <w:p>
      <w:pPr>
        <w:ind w:left="2560" w:hanging="889"/>
        <w:spacing w:after="0"/>
        <w:tabs>
          <w:tab w:leader="none" w:pos="2560"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interpret and apply the terms of the Plan,</w:t>
      </w:r>
    </w:p>
    <w:p>
      <w:pPr>
        <w:spacing w:after="0" w:line="206"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ministerial duties to any of the Company’s employees,</w:t>
      </w:r>
    </w:p>
    <w:p>
      <w:pPr>
        <w:spacing w:after="0" w:line="206" w:lineRule="exact"/>
        <w:rPr>
          <w:rFonts w:ascii="Times New Roman" w:cs="Times New Roman" w:eastAsia="Times New Roman" w:hAnsi="Times New Roman"/>
          <w:sz w:val="22"/>
          <w:szCs w:val="22"/>
          <w:color w:val="auto"/>
        </w:rPr>
      </w:pPr>
    </w:p>
    <w:p>
      <w:pPr>
        <w:ind w:left="2560" w:hanging="889"/>
        <w:spacing w:after="0"/>
        <w:tabs>
          <w:tab w:leader="none" w:pos="2560"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separate Offerings under the Plan,</w:t>
      </w:r>
    </w:p>
    <w:p>
      <w:pPr>
        <w:spacing w:after="0" w:line="185" w:lineRule="exact"/>
        <w:rPr>
          <w:rFonts w:ascii="Times New Roman" w:cs="Times New Roman" w:eastAsia="Times New Roman" w:hAnsi="Times New Roman"/>
          <w:sz w:val="22"/>
          <w:szCs w:val="22"/>
          <w:color w:val="auto"/>
        </w:rPr>
      </w:pPr>
    </w:p>
    <w:p>
      <w:pPr>
        <w:ind w:left="2580" w:hanging="909"/>
        <w:spacing w:after="0" w:line="253" w:lineRule="exact"/>
        <w:tabs>
          <w:tab w:leader="none" w:pos="2580"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Subsidiaries as participating in the 423 Component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w:t>
      </w:r>
    </w:p>
    <w:p>
      <w:pPr>
        <w:spacing w:after="0" w:line="240" w:lineRule="exact"/>
        <w:rPr>
          <w:rFonts w:ascii="Times New Roman" w:cs="Times New Roman" w:eastAsia="Times New Roman" w:hAnsi="Times New Roman"/>
          <w:sz w:val="22"/>
          <w:szCs w:val="22"/>
          <w:color w:val="auto"/>
        </w:rPr>
      </w:pPr>
    </w:p>
    <w:p>
      <w:pPr>
        <w:ind w:left="2560" w:hanging="889"/>
        <w:spacing w:after="0"/>
        <w:tabs>
          <w:tab w:leader="none" w:pos="2560"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eligibility,</w:t>
      </w:r>
    </w:p>
    <w:p>
      <w:pPr>
        <w:spacing w:after="0" w:line="206" w:lineRule="exact"/>
        <w:rPr>
          <w:rFonts w:ascii="Times New Roman" w:cs="Times New Roman" w:eastAsia="Times New Roman" w:hAnsi="Times New Roman"/>
          <w:sz w:val="22"/>
          <w:szCs w:val="22"/>
          <w:color w:val="auto"/>
        </w:rPr>
      </w:pPr>
    </w:p>
    <w:p>
      <w:pPr>
        <w:ind w:left="2540" w:hanging="869"/>
        <w:spacing w:after="0"/>
        <w:tabs>
          <w:tab w:leader="none" w:pos="2540"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adjudicate all disputed claims filed under the Plan, and</w:t>
      </w:r>
    </w:p>
    <w:p>
      <w:pPr>
        <w:spacing w:after="0" w:line="206" w:lineRule="exact"/>
        <w:rPr>
          <w:rFonts w:ascii="Times New Roman" w:cs="Times New Roman" w:eastAsia="Times New Roman" w:hAnsi="Times New Roman"/>
          <w:sz w:val="22"/>
          <w:szCs w:val="22"/>
          <w:color w:val="auto"/>
        </w:rPr>
      </w:pPr>
    </w:p>
    <w:p>
      <w:pPr>
        <w:jc w:val="both"/>
        <w:ind w:firstLine="1671"/>
        <w:spacing w:after="0" w:line="257" w:lineRule="exact"/>
        <w:tabs>
          <w:tab w:leader="none" w:pos="2563"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such procedures that it deems necessary or advisable for the administration of the Plan (including, without limitation, to adopt such procedures,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plans, and appendices to the enrollment agreement as are necessary or appropriate to permit the participation in the Plan by employees who are foreign nationals or employed outside the U.S., the terms of which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plans and appendices may take precedence over other provisions of this Plan, with the exception of Section 3 hereof, but unless otherwise superseded by the terms of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 or appendix, the provisions of this Plan will govern the operation of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 or appendix). Unless otherwise determined by the Administrator, the Eligible Employees eligible to participate in each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 will participate in a separate Offering under the 423 Component, or if the terms would not qualify under the 423 Component, in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in either case unless such designation would cause the 423 Component to violate the requirements of Code Section 423.</w:t>
      </w:r>
    </w:p>
    <w:p>
      <w:pPr>
        <w:spacing w:after="0" w:line="179" w:lineRule="exact"/>
        <w:rPr>
          <w:sz w:val="20"/>
          <w:szCs w:val="20"/>
          <w:color w:val="auto"/>
        </w:rPr>
      </w:pPr>
    </w:p>
    <w:p>
      <w:pPr>
        <w:jc w:val="both"/>
        <w:ind w:firstLine="1663"/>
        <w:spacing w:after="0" w:line="248" w:lineRule="exact"/>
        <w:rPr>
          <w:sz w:val="20"/>
          <w:szCs w:val="20"/>
          <w:color w:val="auto"/>
        </w:rPr>
      </w:pPr>
      <w:r>
        <w:rPr>
          <w:rFonts w:ascii="Times New Roman" w:cs="Times New Roman" w:eastAsia="Times New Roman" w:hAnsi="Times New Roman"/>
          <w:sz w:val="22"/>
          <w:szCs w:val="22"/>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2(f), the terms of an option granted under the Plan or an Offering to citizens or residents of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1" w:name="page382"/>
    <w:bookmarkEnd w:id="381"/>
    <w:p>
      <w:pPr>
        <w:ind w:left="1660" w:hanging="820"/>
        <w:spacing w:after="0"/>
        <w:tabs>
          <w:tab w:leader="none" w:pos="166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First Offering Period</w:t>
      </w:r>
      <w:r>
        <w:rPr>
          <w:rFonts w:ascii="Times New Roman" w:cs="Times New Roman" w:eastAsia="Times New Roman" w:hAnsi="Times New Roman"/>
          <w:sz w:val="22"/>
          <w:szCs w:val="22"/>
          <w:color w:val="auto"/>
        </w:rPr>
        <w:t>. Any individual who is an Eligible Employee immediately prior to the first Offering Period automatically will be enrolled in the first Offering Period.</w:t>
      </w:r>
    </w:p>
    <w:p>
      <w:pPr>
        <w:spacing w:after="0" w:line="158"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Subsequent Offering Periods</w:t>
      </w:r>
      <w:r>
        <w:rPr>
          <w:rFonts w:ascii="Times New Roman" w:cs="Times New Roman" w:eastAsia="Times New Roman" w:hAnsi="Times New Roman"/>
          <w:sz w:val="22"/>
          <w:szCs w:val="22"/>
          <w:color w:val="auto"/>
        </w:rPr>
        <w:t>. Any Eligible Employee on a given Enrollment Date subsequent to the first Offering Period will be eligible to participate in the Plan, subject to the requirements of Section 7.</w:t>
      </w:r>
    </w:p>
    <w:p>
      <w:pPr>
        <w:spacing w:after="0" w:line="138" w:lineRule="exact"/>
        <w:rPr>
          <w:sz w:val="20"/>
          <w:szCs w:val="20"/>
          <w:color w:val="auto"/>
        </w:rPr>
      </w:pPr>
    </w:p>
    <w:p>
      <w:pPr>
        <w:jc w:val="both"/>
        <w:ind w:firstLine="1663"/>
        <w:spacing w:after="0" w:line="256" w:lineRule="exact"/>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U.S. Employees</w:t>
      </w:r>
      <w:r>
        <w:rPr>
          <w:rFonts w:ascii="Times New Roman" w:cs="Times New Roman" w:eastAsia="Times New Roman" w:hAnsi="Times New Roman"/>
          <w:sz w:val="22"/>
          <w:szCs w:val="22"/>
          <w:color w:val="auto"/>
        </w:rPr>
        <w:t>. Eligible Employees who are citizens or residents of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an Eligible Employee may be excluded from participation in the Plan or an Offering if the Administrator has determined that participation of such Eligible Employee is not advisable or practicable.</w:t>
      </w:r>
    </w:p>
    <w:p>
      <w:pPr>
        <w:spacing w:after="0" w:line="179" w:lineRule="exact"/>
        <w:rPr>
          <w:sz w:val="20"/>
          <w:szCs w:val="20"/>
          <w:color w:val="auto"/>
        </w:rPr>
      </w:pPr>
    </w:p>
    <w:p>
      <w:pPr>
        <w:jc w:val="both"/>
        <w:ind w:firstLine="1663"/>
        <w:spacing w:after="0" w:line="248" w:lineRule="exact"/>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82" w:lineRule="exact"/>
        <w:rPr>
          <w:sz w:val="20"/>
          <w:szCs w:val="20"/>
          <w:color w:val="auto"/>
        </w:rPr>
      </w:pPr>
    </w:p>
    <w:p>
      <w:pPr>
        <w:jc w:val="both"/>
        <w:ind w:firstLine="840"/>
        <w:spacing w:after="0" w:line="249" w:lineRule="exact"/>
        <w:tabs>
          <w:tab w:leader="none" w:pos="1642"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Periods</w:t>
      </w:r>
      <w:r>
        <w:rPr>
          <w:rFonts w:ascii="Times New Roman" w:cs="Times New Roman" w:eastAsia="Times New Roman" w:hAnsi="Times New Roman"/>
          <w:sz w:val="22"/>
          <w:szCs w:val="22"/>
          <w:color w:val="auto"/>
        </w:rPr>
        <w:t>. The Plan will be implemented by consecutive Offering Periods with a new Offering Period commencing on the first Trading Day on or after May 18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and November 18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each year, or on such other date as the Administrator will determine; provided, however, that the first Offering Period under the Plan will commence with the first Trading Day on or after the Registration Date and end on the first Trading Day on or after May 18, 2021, and provided, further, that the second Offering Period under the Plan will commence on the first Trading Day on or after May 18, 2021.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seven (27) months.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2" w:name="page383"/>
    <w:bookmarkEnd w:id="382"/>
    <w:p>
      <w:pPr>
        <w:ind w:left="1660" w:hanging="820"/>
        <w:spacing w:after="0"/>
        <w:tabs>
          <w:tab w:leader="none" w:pos="166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51" w:lineRule="exact"/>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First Offering Period</w:t>
      </w:r>
      <w:r>
        <w:rPr>
          <w:rFonts w:ascii="Times New Roman" w:cs="Times New Roman" w:eastAsia="Times New Roman" w:hAnsi="Times New Roman"/>
          <w:sz w:val="22"/>
          <w:szCs w:val="22"/>
          <w:color w:val="auto"/>
        </w:rPr>
        <w:t xml:space="preserve">. An Eligible Employee will be entitled to continue to participate in the first Offering Period pursuant to Section 5.1 only if such individual submits a subscription agreement authorizing Contributions in a form determined by the Administrator (which may be similar to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to the Company’s designated plan administrator (a) no earlier than the effective date of the Form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8 registration statement with respect to the issuance of Common Stock under this Plan and (b) with respect to the first Offering Period, no later than ten (10) business days following the effective date of such Form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 registration statement or such other date as the Administrator may determine (the “</w:t>
      </w:r>
      <w:r>
        <w:rPr>
          <w:rFonts w:ascii="Times New Roman" w:cs="Times New Roman" w:eastAsia="Times New Roman" w:hAnsi="Times New Roman"/>
          <w:sz w:val="22"/>
          <w:szCs w:val="22"/>
          <w:u w:val="single" w:color="auto"/>
          <w:color w:val="auto"/>
        </w:rPr>
        <w:t>Enrollment Window</w:t>
      </w:r>
      <w:r>
        <w:rPr>
          <w:rFonts w:ascii="Times New Roman" w:cs="Times New Roman" w:eastAsia="Times New Roman" w:hAnsi="Times New Roman"/>
          <w:sz w:val="22"/>
          <w:szCs w:val="22"/>
          <w:color w:val="auto"/>
        </w:rPr>
        <w:t>”). An Eligible Employee’s failure to submit the subscription agreement during the Enrollment Window will result in the automatic termination of such individual’s participation in the first Offering Period.</w:t>
      </w:r>
    </w:p>
    <w:p>
      <w:pPr>
        <w:spacing w:after="0" w:line="180" w:lineRule="exact"/>
        <w:rPr>
          <w:sz w:val="20"/>
          <w:szCs w:val="20"/>
          <w:color w:val="auto"/>
        </w:rPr>
      </w:pPr>
    </w:p>
    <w:p>
      <w:pPr>
        <w:jc w:val="both"/>
        <w:ind w:firstLine="1663"/>
        <w:spacing w:after="0" w:line="23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Subsequent Offering Periods</w:t>
      </w:r>
      <w:r>
        <w:rPr>
          <w:rFonts w:ascii="Times New Roman" w:cs="Times New Roman" w:eastAsia="Times New Roman" w:hAnsi="Times New Roman"/>
          <w:sz w:val="22"/>
          <w:szCs w:val="22"/>
          <w:color w:val="auto"/>
        </w:rPr>
        <w:t>. An Eligible Employee may participate in the Plan pursuant to Section 5.2 by (a) submitting to the Company’s stock administration office (or its designee), a properly completed subscription agreement authorizing Contributions in the form provided by the Administrator for such purpose, or (b) following an electronic or other enrollment procedure determined by the Administrator, in either case, on or before a date determined by the Administrator prior to an applicable Enrollment Date.</w:t>
      </w:r>
    </w:p>
    <w:p>
      <w:pPr>
        <w:spacing w:after="0" w:line="177" w:lineRule="exact"/>
        <w:rPr>
          <w:sz w:val="20"/>
          <w:szCs w:val="20"/>
          <w:color w:val="auto"/>
        </w:rPr>
      </w:pPr>
    </w:p>
    <w:p>
      <w:pPr>
        <w:ind w:left="1660" w:hanging="820"/>
        <w:spacing w:after="0"/>
        <w:tabs>
          <w:tab w:leader="none" w:pos="166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51" w:lineRule="exact"/>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Contribution Amounts</w:t>
      </w:r>
      <w:r>
        <w:rPr>
          <w:rFonts w:ascii="Times New Roman" w:cs="Times New Roman" w:eastAsia="Times New Roman" w:hAnsi="Times New Roman"/>
          <w:sz w:val="22"/>
          <w:szCs w:val="22"/>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Purchase Period or Offering Period.</w:t>
      </w:r>
    </w:p>
    <w:p>
      <w:pPr>
        <w:spacing w:after="0" w:line="182"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Contribution Methods</w:t>
      </w:r>
      <w:r>
        <w:rPr>
          <w:rFonts w:ascii="Times New Roman" w:cs="Times New Roman" w:eastAsia="Times New Roman" w:hAnsi="Times New Roman"/>
          <w:sz w:val="22"/>
          <w:szCs w:val="22"/>
          <w:color w:val="auto"/>
        </w:rPr>
        <w:t>.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w:t>
      </w:r>
    </w:p>
    <w:p>
      <w:pPr>
        <w:spacing w:after="0" w:line="180" w:lineRule="exact"/>
        <w:rPr>
          <w:sz w:val="20"/>
          <w:szCs w:val="20"/>
          <w:color w:val="auto"/>
        </w:rPr>
      </w:pPr>
    </w:p>
    <w:p>
      <w:pPr>
        <w:jc w:val="both"/>
        <w:ind w:firstLine="2504"/>
        <w:spacing w:after="0" w:line="238" w:lineRule="auto"/>
        <w:tabs>
          <w:tab w:leader="none" w:pos="3383"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provided, however, that for the first Offering Period, payroll deductions will commence on the first pay day on or following the end of the Enrollment Window.</w:t>
      </w:r>
    </w:p>
    <w:p>
      <w:pPr>
        <w:spacing w:after="0" w:line="176" w:lineRule="exact"/>
        <w:rPr>
          <w:rFonts w:ascii="Times New Roman" w:cs="Times New Roman" w:eastAsia="Times New Roman" w:hAnsi="Times New Roman"/>
          <w:sz w:val="22"/>
          <w:szCs w:val="22"/>
          <w:color w:val="auto"/>
        </w:rPr>
      </w:pPr>
    </w:p>
    <w:p>
      <w:pPr>
        <w:jc w:val="both"/>
        <w:ind w:firstLine="2504"/>
        <w:spacing w:after="0" w:line="244" w:lineRule="auto"/>
        <w:tabs>
          <w:tab w:leader="none" w:pos="3395"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3" w:name="page384"/>
    <w:bookmarkEnd w:id="383"/>
    <w:p>
      <w:pPr>
        <w:jc w:val="both"/>
        <w:ind w:firstLine="1663"/>
        <w:spacing w:after="0" w:line="234"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Participant Changes to Contributions</w:t>
      </w:r>
      <w:r>
        <w:rPr>
          <w:rFonts w:ascii="Times New Roman" w:cs="Times New Roman" w:eastAsia="Times New Roman" w:hAnsi="Times New Roman"/>
          <w:sz w:val="22"/>
          <w:szCs w:val="22"/>
          <w:color w:val="auto"/>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83" w:lineRule="exact"/>
        <w:rPr>
          <w:sz w:val="20"/>
          <w:szCs w:val="20"/>
          <w:color w:val="auto"/>
        </w:rPr>
      </w:pPr>
    </w:p>
    <w:p>
      <w:pPr>
        <w:ind w:left="3400" w:hanging="896"/>
        <w:spacing w:after="0"/>
        <w:tabs>
          <w:tab w:leader="none" w:pos="340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a Contribution rate adjustment pursuant to this Section 8.3 by</w:t>
      </w:r>
    </w:p>
    <w:p>
      <w:pPr>
        <w:spacing w:after="0" w:line="14" w:lineRule="exact"/>
        <w:rPr>
          <w:rFonts w:ascii="Times New Roman" w:cs="Times New Roman" w:eastAsia="Times New Roman" w:hAnsi="Times New Roman"/>
          <w:sz w:val="22"/>
          <w:szCs w:val="22"/>
          <w:color w:val="auto"/>
        </w:rPr>
      </w:pPr>
    </w:p>
    <w:p>
      <w:pPr>
        <w:jc w:val="both"/>
        <w:ind w:firstLine="8"/>
        <w:spacing w:after="0" w:line="230" w:lineRule="auto"/>
        <w:tabs>
          <w:tab w:leader="none" w:pos="394"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properly completing and submitting to the Company’s stock administration office (or its designee), a new subscription agreement authorizing the change in Contribution rate in the form provided by the Administrator for such purpose, or</w:t>
      </w:r>
    </w:p>
    <w:p>
      <w:pPr>
        <w:spacing w:after="0" w:line="1" w:lineRule="exact"/>
        <w:rPr>
          <w:rFonts w:ascii="Times New Roman" w:cs="Times New Roman" w:eastAsia="Times New Roman" w:hAnsi="Times New Roman"/>
          <w:sz w:val="22"/>
          <w:szCs w:val="22"/>
          <w:color w:val="auto"/>
        </w:rPr>
      </w:pPr>
    </w:p>
    <w:p>
      <w:pPr>
        <w:jc w:val="both"/>
        <w:ind w:firstLine="8"/>
        <w:spacing w:after="0" w:line="233" w:lineRule="auto"/>
        <w:tabs>
          <w:tab w:leader="none" w:pos="342"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79" w:lineRule="exact"/>
        <w:rPr>
          <w:rFonts w:ascii="Times New Roman" w:cs="Times New Roman" w:eastAsia="Times New Roman" w:hAnsi="Times New Roman"/>
          <w:sz w:val="22"/>
          <w:szCs w:val="22"/>
          <w:color w:val="auto"/>
        </w:rPr>
      </w:pPr>
    </w:p>
    <w:p>
      <w:pPr>
        <w:jc w:val="both"/>
        <w:ind w:firstLine="2504"/>
        <w:spacing w:after="0" w:line="239" w:lineRule="auto"/>
        <w:tabs>
          <w:tab w:leader="none" w:pos="3395"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80" w:lineRule="exact"/>
        <w:rPr>
          <w:rFonts w:ascii="Times New Roman" w:cs="Times New Roman" w:eastAsia="Times New Roman" w:hAnsi="Times New Roman"/>
          <w:sz w:val="22"/>
          <w:szCs w:val="22"/>
          <w:color w:val="auto"/>
        </w:rPr>
      </w:pPr>
    </w:p>
    <w:p>
      <w:pPr>
        <w:jc w:val="both"/>
        <w:ind w:firstLine="2504"/>
        <w:spacing w:after="0" w:line="244" w:lineRule="auto"/>
        <w:tabs>
          <w:tab w:leader="none" w:pos="3383"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Contribution rate made pursuant to this Section 8.3(c)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73" w:lineRule="exact"/>
        <w:rPr>
          <w:sz w:val="20"/>
          <w:szCs w:val="20"/>
          <w:color w:val="auto"/>
        </w:rPr>
      </w:pPr>
    </w:p>
    <w:p>
      <w:pPr>
        <w:jc w:val="both"/>
        <w:ind w:firstLine="1663"/>
        <w:spacing w:after="0" w:line="23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Other Contribution Changes</w:t>
      </w:r>
      <w:r>
        <w:rPr>
          <w:rFonts w:ascii="Times New Roman" w:cs="Times New Roman" w:eastAsia="Times New Roman" w:hAnsi="Times New Roman"/>
          <w:sz w:val="22"/>
          <w:szCs w:val="22"/>
          <w:color w:val="auto"/>
        </w:rPr>
        <w:t>. Notwithstanding the foregoing, to the extent necessary to comply with Code Section 423(b)(8) and Section 5.4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5.4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4" w:name="page385"/>
    <w:bookmarkEnd w:id="384"/>
    <w:p>
      <w:pPr>
        <w:jc w:val="both"/>
        <w:ind w:firstLine="1663"/>
        <w:spacing w:after="0" w:line="262" w:lineRule="exact"/>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Cash Contributions</w:t>
      </w:r>
      <w:r>
        <w:rPr>
          <w:rFonts w:ascii="Times New Roman" w:cs="Times New Roman" w:eastAsia="Times New Roman" w:hAnsi="Times New Roman"/>
          <w:sz w:val="22"/>
          <w:szCs w:val="22"/>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w:t>
      </w:r>
    </w:p>
    <w:p>
      <w:pPr>
        <w:spacing w:after="0" w:line="156" w:lineRule="exact"/>
        <w:rPr>
          <w:sz w:val="20"/>
          <w:szCs w:val="20"/>
          <w:color w:val="auto"/>
        </w:rPr>
      </w:pPr>
    </w:p>
    <w:p>
      <w:pPr>
        <w:jc w:val="both"/>
        <w:ind w:firstLine="1663"/>
        <w:spacing w:after="0" w:line="249" w:lineRule="exact"/>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Tax Withholdings</w:t>
      </w:r>
      <w:r>
        <w:rPr>
          <w:rFonts w:ascii="Times New Roman" w:cs="Times New Roman" w:eastAsia="Times New Roman" w:hAnsi="Times New Roman"/>
          <w:sz w:val="22"/>
          <w:szCs w:val="22"/>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2(f).</w:t>
      </w:r>
    </w:p>
    <w:p>
      <w:pPr>
        <w:spacing w:after="0" w:line="160" w:lineRule="exact"/>
        <w:rPr>
          <w:sz w:val="20"/>
          <w:szCs w:val="20"/>
          <w:color w:val="auto"/>
        </w:rPr>
      </w:pPr>
    </w:p>
    <w:p>
      <w:pPr>
        <w:jc w:val="both"/>
        <w:ind w:firstLine="1663"/>
        <w:spacing w:after="0" w:line="251" w:lineRule="exact"/>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Use of Funds</w:t>
      </w:r>
      <w:r>
        <w:rPr>
          <w:rFonts w:ascii="Times New Roman" w:cs="Times New Roman" w:eastAsia="Times New Roman" w:hAnsi="Times New Roman"/>
          <w:sz w:val="22"/>
          <w:szCs w:val="22"/>
          <w:color w:val="auto"/>
        </w:rPr>
        <w:t>. The Company may use all Contributions received or held by it under the Plan for any corporate purpose, and the Company will not be obligated to segregate such Contributions except under Offerings or for Participants in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2(f). Until shares of Common Stock are issued, Participants will have only the rights of an unsecured creditor with respect to such shares.</w:t>
      </w:r>
    </w:p>
    <w:p>
      <w:pPr>
        <w:spacing w:after="0" w:line="180" w:lineRule="exact"/>
        <w:rPr>
          <w:sz w:val="20"/>
          <w:szCs w:val="20"/>
          <w:color w:val="auto"/>
        </w:rPr>
      </w:pPr>
    </w:p>
    <w:p>
      <w:pPr>
        <w:jc w:val="both"/>
        <w:ind w:firstLine="840"/>
        <w:spacing w:after="0" w:line="238" w:lineRule="auto"/>
        <w:tabs>
          <w:tab w:leader="none" w:pos="1642"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77" w:lineRule="exact"/>
        <w:rPr>
          <w:sz w:val="20"/>
          <w:szCs w:val="20"/>
          <w:color w:val="auto"/>
        </w:rPr>
      </w:pPr>
    </w:p>
    <w:p>
      <w:pPr>
        <w:jc w:val="both"/>
        <w:ind w:firstLine="1663"/>
        <w:spacing w:after="0" w:line="251"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Certain Option Limits</w:t>
      </w:r>
      <w:r>
        <w:rPr>
          <w:rFonts w:ascii="Times New Roman" w:cs="Times New Roman" w:eastAsia="Times New Roman" w:hAnsi="Times New Roman"/>
          <w:sz w:val="21"/>
          <w:szCs w:val="21"/>
          <w:color w:val="auto"/>
        </w:rPr>
        <w:t>. In no event will an Eligible Employee be permitted to purchase during each Offering Period more than 5,000 shares of Common Stock (subject to any adjustment pursuant to Section 17), and provided further that such purchase will be subject to the limitations set forth in Sections 3 and 5.4 and in the subscription agreement. For future Offering Periods, the Administrator, in its absolute discretion, may increase or decrease the maximum number of shares of Common Stock that an Eligible Employee may purchase during each Purchase Period or Offering Period, as applicable.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5" w:name="page386"/>
    <w:bookmarkEnd w:id="385"/>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Option Receipt</w:t>
      </w:r>
      <w:r>
        <w:rPr>
          <w:rFonts w:ascii="Times New Roman" w:cs="Times New Roman" w:eastAsia="Times New Roman" w:hAnsi="Times New Roman"/>
          <w:sz w:val="22"/>
          <w:szCs w:val="22"/>
          <w:color w:val="auto"/>
        </w:rPr>
        <w:t>. The Eligible Employee may accept the grant of such option (i) with respect to the first Offering Period by submitting a properly completed subscription agreement in accordance with the requirements of Section 7 on or before the last day of the Enrollment Window, and (ii) with respect to any subsequent Offering Period under the Plan, by electing to participate in the Plan in accordance with the requirements of Section 7.</w:t>
      </w:r>
    </w:p>
    <w:p>
      <w:pPr>
        <w:spacing w:after="0" w:line="180"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Exercise of the option will occur as provided in Section 10, unless the Participant’s participation has terminated pursuant to Sections 12 or 13. The option will expire on the last day of the Offering Period.</w:t>
      </w:r>
    </w:p>
    <w:p>
      <w:pPr>
        <w:spacing w:after="0" w:line="158" w:lineRule="exact"/>
        <w:rPr>
          <w:sz w:val="20"/>
          <w:szCs w:val="20"/>
          <w:color w:val="auto"/>
        </w:rPr>
      </w:pPr>
    </w:p>
    <w:p>
      <w:pPr>
        <w:ind w:left="1760" w:hanging="920"/>
        <w:spacing w:after="0"/>
        <w:tabs>
          <w:tab w:leader="none" w:pos="176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34"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Automatic Exercise</w:t>
      </w:r>
      <w:r>
        <w:rPr>
          <w:rFonts w:ascii="Times New Roman" w:cs="Times New Roman" w:eastAsia="Times New Roman" w:hAnsi="Times New Roman"/>
          <w:sz w:val="22"/>
          <w:szCs w:val="22"/>
          <w:color w:val="auto"/>
        </w:rPr>
        <w:t>. Unless a Participant’s participation in the Plan has terminated as provided in Sections 12 and 13,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83" w:lineRule="exact"/>
        <w:rPr>
          <w:sz w:val="20"/>
          <w:szCs w:val="20"/>
          <w:color w:val="auto"/>
        </w:rPr>
      </w:pPr>
    </w:p>
    <w:p>
      <w:pPr>
        <w:jc w:val="both"/>
        <w:ind w:firstLine="1663"/>
        <w:spacing w:after="0" w:line="236"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Pro Rata Allocations</w:t>
      </w:r>
      <w:r>
        <w:rPr>
          <w:rFonts w:ascii="Times New Roman" w:cs="Times New Roman" w:eastAsia="Times New Roman" w:hAnsi="Times New Roman"/>
          <w:sz w:val="22"/>
          <w:szCs w:val="22"/>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w:t>
      </w:r>
    </w:p>
    <w:p>
      <w:pPr>
        <w:spacing w:after="0" w:line="1" w:lineRule="exact"/>
        <w:rPr>
          <w:sz w:val="20"/>
          <w:szCs w:val="20"/>
          <w:color w:val="auto"/>
        </w:rPr>
      </w:pPr>
    </w:p>
    <w:p>
      <w:pPr>
        <w:jc w:val="both"/>
        <w:ind w:firstLine="8"/>
        <w:spacing w:after="0" w:line="232" w:lineRule="auto"/>
        <w:tabs>
          <w:tab w:leader="none" w:pos="33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76" w:lineRule="exact"/>
        <w:rPr>
          <w:rFonts w:ascii="Times New Roman" w:cs="Times New Roman" w:eastAsia="Times New Roman" w:hAnsi="Times New Roman"/>
          <w:sz w:val="22"/>
          <w:szCs w:val="22"/>
          <w:color w:val="auto"/>
        </w:rPr>
      </w:pPr>
    </w:p>
    <w:p>
      <w:pPr>
        <w:jc w:val="both"/>
        <w:ind w:firstLine="840"/>
        <w:spacing w:after="0" w:line="239" w:lineRule="auto"/>
        <w:tabs>
          <w:tab w:leader="none" w:pos="1742"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6" w:name="page387"/>
    <w:bookmarkEnd w:id="386"/>
    <w:p>
      <w:pPr>
        <w:jc w:val="both"/>
        <w:spacing w:after="0" w:line="236" w:lineRule="auto"/>
        <w:rPr>
          <w:sz w:val="20"/>
          <w:szCs w:val="20"/>
          <w:color w:val="auto"/>
        </w:rPr>
      </w:pPr>
      <w:r>
        <w:rPr>
          <w:rFonts w:ascii="Times New Roman" w:cs="Times New Roman" w:eastAsia="Times New Roman" w:hAnsi="Times New Roman"/>
          <w:sz w:val="22"/>
          <w:szCs w:val="22"/>
          <w:color w:val="auto"/>
        </w:rPr>
        <w:t>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81" w:lineRule="exact"/>
        <w:rPr>
          <w:sz w:val="20"/>
          <w:szCs w:val="20"/>
          <w:color w:val="auto"/>
        </w:rPr>
      </w:pPr>
    </w:p>
    <w:p>
      <w:pPr>
        <w:ind w:left="1760" w:hanging="920"/>
        <w:spacing w:after="0"/>
        <w:tabs>
          <w:tab w:leader="none" w:pos="176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9" w:lineRule="exact"/>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Withdrawal Procedures</w:t>
      </w:r>
      <w:r>
        <w:rPr>
          <w:rFonts w:ascii="Times New Roman" w:cs="Times New Roman" w:eastAsia="Times New Roman" w:hAnsi="Times New Roman"/>
          <w:sz w:val="22"/>
          <w:szCs w:val="22"/>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enrolls in the Plan in accordance with the provisions of Section 7.</w:t>
      </w:r>
    </w:p>
    <w:p>
      <w:pPr>
        <w:spacing w:after="0" w:line="16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No Effect on Future Participation</w:t>
      </w:r>
      <w:r>
        <w:rPr>
          <w:rFonts w:ascii="Times New Roman" w:cs="Times New Roman" w:eastAsia="Times New Roman" w:hAnsi="Times New Roman"/>
          <w:sz w:val="22"/>
          <w:szCs w:val="22"/>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73" w:lineRule="exact"/>
        <w:rPr>
          <w:sz w:val="20"/>
          <w:szCs w:val="20"/>
          <w:color w:val="auto"/>
        </w:rPr>
      </w:pPr>
    </w:p>
    <w:p>
      <w:pPr>
        <w:jc w:val="both"/>
        <w:ind w:firstLine="840"/>
        <w:spacing w:after="0" w:line="248" w:lineRule="exact"/>
        <w:tabs>
          <w:tab w:leader="none" w:pos="175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the exercise of the option will be qualified under the 423 Component only to the extent it complies with Code Section 423; further, no Participant will be deemed to switch from an Offering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to an Offering under the 423 Component or vice versa unless (and then only to the extent) such switch would not cause the 423 Component or any option thereunder to fail to comply with Code Section 423.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7" w:name="page388"/>
    <w:bookmarkEnd w:id="387"/>
    <w:p>
      <w:pPr>
        <w:jc w:val="both"/>
        <w:ind w:firstLine="840"/>
        <w:spacing w:after="0" w:line="244" w:lineRule="auto"/>
        <w:tabs>
          <w:tab w:leader="none" w:pos="1750"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83" w:lineRule="exact"/>
        <w:rPr>
          <w:rFonts w:ascii="Times New Roman" w:cs="Times New Roman" w:eastAsia="Times New Roman" w:hAnsi="Times New Roman"/>
          <w:sz w:val="21"/>
          <w:szCs w:val="21"/>
          <w:color w:val="auto"/>
        </w:rPr>
      </w:pPr>
    </w:p>
    <w:p>
      <w:pPr>
        <w:jc w:val="both"/>
        <w:ind w:firstLine="840"/>
        <w:spacing w:after="0" w:line="251" w:lineRule="auto"/>
        <w:tabs>
          <w:tab w:leader="none" w:pos="1750"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68" w:lineRule="exact"/>
        <w:rPr>
          <w:rFonts w:ascii="Times New Roman" w:cs="Times New Roman" w:eastAsia="Times New Roman" w:hAnsi="Times New Roman"/>
          <w:sz w:val="21"/>
          <w:szCs w:val="21"/>
          <w:color w:val="auto"/>
        </w:rPr>
      </w:pPr>
    </w:p>
    <w:p>
      <w:pPr>
        <w:jc w:val="both"/>
        <w:ind w:firstLine="840"/>
        <w:spacing w:after="0" w:line="238" w:lineRule="auto"/>
        <w:tabs>
          <w:tab w:leader="none" w:pos="175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76" w:lineRule="exact"/>
        <w:rPr>
          <w:rFonts w:ascii="Times New Roman" w:cs="Times New Roman" w:eastAsia="Times New Roman" w:hAnsi="Times New Roman"/>
          <w:sz w:val="22"/>
          <w:szCs w:val="22"/>
          <w:color w:val="auto"/>
        </w:rPr>
      </w:pPr>
    </w:p>
    <w:p>
      <w:pPr>
        <w:ind w:left="1760" w:hanging="920"/>
        <w:spacing w:after="0"/>
        <w:tabs>
          <w:tab w:leader="none" w:pos="176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Dissolution,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9" w:lineRule="exact"/>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that any dividend or other distribution (whether in the form of cash, Common Stock, other securities, or other property), recapitalization, stock split, reverse stock split, reorganization, merger, consolidation, split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spin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8" w:name="page389"/>
    <w:bookmarkEnd w:id="388"/>
    <w:p>
      <w:pPr>
        <w:jc w:val="both"/>
        <w:ind w:firstLine="1663"/>
        <w:spacing w:after="0" w:line="235"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spacing w:after="0" w:line="183" w:lineRule="exact"/>
        <w:rPr>
          <w:sz w:val="20"/>
          <w:szCs w:val="20"/>
          <w:color w:val="auto"/>
        </w:rPr>
      </w:pPr>
    </w:p>
    <w:p>
      <w:pPr>
        <w:jc w:val="both"/>
        <w:ind w:firstLine="1663"/>
        <w:spacing w:after="0" w:line="234" w:lineRule="auto"/>
        <w:rPr>
          <w:sz w:val="20"/>
          <w:szCs w:val="20"/>
          <w:color w:val="auto"/>
        </w:rPr>
      </w:pPr>
      <w:r>
        <w:rPr>
          <w:rFonts w:ascii="Times New Roman" w:cs="Times New Roman" w:eastAsia="Times New Roman" w:hAnsi="Times New Roman"/>
          <w:sz w:val="22"/>
          <w:szCs w:val="22"/>
          <w:color w:val="auto"/>
        </w:rPr>
        <w:t xml:space="preserve">17.3 </w:t>
      </w:r>
      <w:r>
        <w:rPr>
          <w:rFonts w:ascii="Times New Roman" w:cs="Times New Roman" w:eastAsia="Times New Roman" w:hAnsi="Times New Roman"/>
          <w:sz w:val="22"/>
          <w:szCs w:val="22"/>
          <w:u w:val="single" w:color="auto"/>
          <w:color w:val="auto"/>
        </w:rPr>
        <w:t>Merger or Change in Control</w:t>
      </w:r>
      <w:r>
        <w:rPr>
          <w:rFonts w:ascii="Times New Roman" w:cs="Times New Roman" w:eastAsia="Times New Roman" w:hAnsi="Times New Roman"/>
          <w:sz w:val="22"/>
          <w:szCs w:val="22"/>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spacing w:after="0" w:line="183" w:lineRule="exact"/>
        <w:rPr>
          <w:sz w:val="20"/>
          <w:szCs w:val="20"/>
          <w:color w:val="auto"/>
        </w:rPr>
      </w:pPr>
    </w:p>
    <w:p>
      <w:pPr>
        <w:ind w:left="1760" w:hanging="920"/>
        <w:spacing w:after="0"/>
        <w:tabs>
          <w:tab w:leader="none" w:pos="176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34"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u w:val="single" w:color="auto"/>
          <w:color w:val="auto"/>
        </w:rPr>
        <w:t>Amendment, Suspension, Termination</w:t>
      </w:r>
      <w:r>
        <w:rPr>
          <w:rFonts w:ascii="Times New Roman" w:cs="Times New Roman" w:eastAsia="Times New Roman" w:hAnsi="Times New Roman"/>
          <w:sz w:val="22"/>
          <w:szCs w:val="22"/>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83" w:lineRule="exact"/>
        <w:rPr>
          <w:sz w:val="20"/>
          <w:szCs w:val="20"/>
          <w:color w:val="auto"/>
        </w:rPr>
      </w:pPr>
    </w:p>
    <w:p>
      <w:pPr>
        <w:jc w:val="both"/>
        <w:ind w:firstLine="1663"/>
        <w:spacing w:after="0" w:line="235"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u w:val="single" w:color="auto"/>
          <w:color w:val="auto"/>
        </w:rPr>
        <w:t>Certain Administrator Changes</w:t>
      </w:r>
      <w:r>
        <w:rPr>
          <w:rFonts w:ascii="Times New Roman" w:cs="Times New Roman" w:eastAsia="Times New Roman" w:hAnsi="Times New Roman"/>
          <w:sz w:val="22"/>
          <w:szCs w:val="22"/>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9" w:name="page390"/>
    <w:bookmarkEnd w:id="389"/>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u w:val="single" w:color="auto"/>
          <w:color w:val="auto"/>
        </w:rPr>
        <w:t>Changes Due to Accounting Consequences</w:t>
      </w:r>
      <w:r>
        <w:rPr>
          <w:rFonts w:ascii="Times New Roman" w:cs="Times New Roman" w:eastAsia="Times New Roman" w:hAnsi="Times New Roman"/>
          <w:sz w:val="22"/>
          <w:szCs w:val="22"/>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80" w:lineRule="exact"/>
        <w:rPr>
          <w:sz w:val="20"/>
          <w:szCs w:val="20"/>
          <w:color w:val="auto"/>
        </w:rPr>
      </w:pPr>
    </w:p>
    <w:p>
      <w:pPr>
        <w:jc w:val="both"/>
        <w:ind w:firstLine="2504"/>
        <w:spacing w:after="0" w:line="244" w:lineRule="auto"/>
        <w:tabs>
          <w:tab w:leader="none" w:pos="3383"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73" w:lineRule="exact"/>
        <w:rPr>
          <w:rFonts w:ascii="Times New Roman" w:cs="Times New Roman" w:eastAsia="Times New Roman" w:hAnsi="Times New Roman"/>
          <w:sz w:val="22"/>
          <w:szCs w:val="22"/>
          <w:color w:val="auto"/>
        </w:rPr>
      </w:pPr>
    </w:p>
    <w:p>
      <w:pPr>
        <w:ind w:firstLine="2504"/>
        <w:spacing w:after="0" w:line="258" w:lineRule="auto"/>
        <w:tabs>
          <w:tab w:leader="none" w:pos="3395"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altering the Purchase Price for any Purchase Period or Offering Period including a Purchase Period or Offering Period underway at the time of the change in Purchase Price;</w:t>
      </w:r>
    </w:p>
    <w:p>
      <w:pPr>
        <w:spacing w:after="0" w:line="158" w:lineRule="exact"/>
        <w:rPr>
          <w:rFonts w:ascii="Times New Roman" w:cs="Times New Roman" w:eastAsia="Times New Roman" w:hAnsi="Times New Roman"/>
          <w:sz w:val="22"/>
          <w:szCs w:val="22"/>
          <w:color w:val="auto"/>
        </w:rPr>
      </w:pPr>
    </w:p>
    <w:p>
      <w:pPr>
        <w:ind w:left="3400" w:hanging="896"/>
        <w:spacing w:after="0"/>
        <w:tabs>
          <w:tab w:leader="none" w:pos="340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shortening any Purchase Period or Offering Period by setting a New Exercise Date,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a Purchase Period or Offering Period underway at the time of the Administrator action;</w:t>
      </w:r>
    </w:p>
    <w:p>
      <w:pPr>
        <w:spacing w:after="0" w:line="182" w:lineRule="exact"/>
        <w:rPr>
          <w:rFonts w:ascii="Times New Roman" w:cs="Times New Roman" w:eastAsia="Times New Roman" w:hAnsi="Times New Roman"/>
          <w:sz w:val="22"/>
          <w:szCs w:val="22"/>
          <w:color w:val="auto"/>
        </w:rPr>
      </w:pPr>
    </w:p>
    <w:p>
      <w:pPr>
        <w:ind w:left="3400" w:hanging="896"/>
        <w:spacing w:after="0"/>
        <w:tabs>
          <w:tab w:leader="none" w:pos="3400"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reducing the maximum percentage of Compensation a Participant may elect to set aside as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Contributions; and</w:t>
      </w:r>
    </w:p>
    <w:p>
      <w:pPr>
        <w:spacing w:after="0" w:line="182" w:lineRule="exact"/>
        <w:rPr>
          <w:rFonts w:ascii="Times New Roman" w:cs="Times New Roman" w:eastAsia="Times New Roman" w:hAnsi="Times New Roman"/>
          <w:sz w:val="21"/>
          <w:szCs w:val="21"/>
          <w:color w:val="auto"/>
        </w:rPr>
      </w:pPr>
    </w:p>
    <w:p>
      <w:pPr>
        <w:ind w:firstLine="2504"/>
        <w:spacing w:after="0" w:line="258" w:lineRule="auto"/>
        <w:tabs>
          <w:tab w:leader="none" w:pos="3383"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maximum number of shares of Common Stock a Participant may purchase during any Purchase Period or Offering Period.</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Such modifications or amendments will not require stockholder approval or the consent of any Plan Participants.</w:t>
      </w:r>
    </w:p>
    <w:p>
      <w:pPr>
        <w:spacing w:after="0" w:line="206" w:lineRule="exact"/>
        <w:rPr>
          <w:sz w:val="20"/>
          <w:szCs w:val="20"/>
          <w:color w:val="auto"/>
        </w:rPr>
      </w:pPr>
    </w:p>
    <w:p>
      <w:pPr>
        <w:ind w:left="1760" w:hanging="920"/>
        <w:spacing w:after="0"/>
        <w:tabs>
          <w:tab w:leader="none" w:pos="176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19.1 </w:t>
      </w: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73"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19.2 </w:t>
      </w: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0" w:lineRule="exact"/>
        <w:rPr>
          <w:sz w:val="20"/>
          <w:szCs w:val="20"/>
          <w:color w:val="auto"/>
        </w:rPr>
      </w:pPr>
    </w:p>
    <w:p>
      <w:pPr>
        <w:jc w:val="both"/>
        <w:ind w:right="20" w:firstLine="840"/>
        <w:spacing w:after="0" w:line="239" w:lineRule="auto"/>
        <w:tabs>
          <w:tab w:leader="none" w:pos="175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The Plan will become effective upon the later to occur of (a) its adoption by the Board or (b) the business day immediately prior to the Registration Date. It will continue in effect for a term of twenty (20) years, unless sooner terminated under Section 18, provided that Section 3.2 relating to automatic share reserve increases will operate only until the ten (10) year anniversary of the earlier of the Board or stockholder approval of the Plan.</w:t>
      </w:r>
    </w:p>
    <w:p>
      <w:pPr>
        <w:spacing w:after="0" w:line="180" w:lineRule="exact"/>
        <w:rPr>
          <w:rFonts w:ascii="Times New Roman" w:cs="Times New Roman" w:eastAsia="Times New Roman" w:hAnsi="Times New Roman"/>
          <w:sz w:val="22"/>
          <w:szCs w:val="22"/>
          <w:color w:val="auto"/>
        </w:rPr>
      </w:pPr>
    </w:p>
    <w:p>
      <w:pPr>
        <w:jc w:val="both"/>
        <w:ind w:firstLine="840"/>
        <w:spacing w:after="0" w:line="244" w:lineRule="auto"/>
        <w:tabs>
          <w:tab w:leader="none" w:pos="175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0" w:name="page391"/>
    <w:bookmarkEnd w:id="390"/>
    <w:p>
      <w:pPr>
        <w:jc w:val="both"/>
        <w:ind w:firstLine="840"/>
        <w:spacing w:after="0" w:line="262" w:lineRule="exact"/>
        <w:tabs>
          <w:tab w:leader="none" w:pos="175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2(f).</w:t>
      </w:r>
    </w:p>
    <w:p>
      <w:pPr>
        <w:spacing w:after="0" w:line="155" w:lineRule="exact"/>
        <w:rPr>
          <w:rFonts w:ascii="Times New Roman" w:cs="Times New Roman" w:eastAsia="Times New Roman" w:hAnsi="Times New Roman"/>
          <w:sz w:val="22"/>
          <w:szCs w:val="22"/>
          <w:color w:val="auto"/>
        </w:rPr>
      </w:pPr>
    </w:p>
    <w:p>
      <w:pPr>
        <w:jc w:val="both"/>
        <w:ind w:firstLine="840"/>
        <w:spacing w:after="0" w:line="255" w:lineRule="auto"/>
        <w:tabs>
          <w:tab w:leader="none" w:pos="1750"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Effect on Employment</w:t>
      </w:r>
      <w:r>
        <w:rPr>
          <w:rFonts w:ascii="Times New Roman" w:cs="Times New Roman" w:eastAsia="Times New Roman" w:hAnsi="Times New Roman"/>
          <w:sz w:val="21"/>
          <w:szCs w:val="21"/>
          <w:color w:val="auto"/>
        </w:rPr>
        <w:t>.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61" w:lineRule="exact"/>
        <w:rPr>
          <w:rFonts w:ascii="Times New Roman" w:cs="Times New Roman" w:eastAsia="Times New Roman" w:hAnsi="Times New Roman"/>
          <w:sz w:val="21"/>
          <w:szCs w:val="21"/>
          <w:color w:val="auto"/>
        </w:rPr>
      </w:pPr>
    </w:p>
    <w:p>
      <w:pPr>
        <w:jc w:val="both"/>
        <w:ind w:firstLine="840"/>
        <w:spacing w:after="0" w:line="244" w:lineRule="auto"/>
        <w:tabs>
          <w:tab w:leader="none" w:pos="175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73" w:lineRule="exact"/>
        <w:rPr>
          <w:rFonts w:ascii="Times New Roman" w:cs="Times New Roman" w:eastAsia="Times New Roman" w:hAnsi="Times New Roman"/>
          <w:sz w:val="22"/>
          <w:szCs w:val="22"/>
          <w:color w:val="auto"/>
        </w:rPr>
      </w:pPr>
    </w:p>
    <w:p>
      <w:pPr>
        <w:jc w:val="both"/>
        <w:ind w:firstLine="840"/>
        <w:spacing w:after="0" w:line="244" w:lineRule="auto"/>
        <w:tabs>
          <w:tab w:leader="none" w:pos="175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3" w:lineRule="exact"/>
        <w:rPr>
          <w:rFonts w:ascii="Times New Roman" w:cs="Times New Roman" w:eastAsia="Times New Roman" w:hAnsi="Times New Roman"/>
          <w:sz w:val="22"/>
          <w:szCs w:val="22"/>
          <w:color w:val="auto"/>
        </w:rPr>
      </w:pPr>
    </w:p>
    <w:p>
      <w:pPr>
        <w:ind w:left="1760" w:hanging="920"/>
        <w:spacing w:after="0"/>
        <w:tabs>
          <w:tab w:leader="none" w:pos="176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Construction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26.1 </w:t>
      </w: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73" w:lineRule="exact"/>
        <w:rPr>
          <w:sz w:val="20"/>
          <w:szCs w:val="20"/>
          <w:color w:val="auto"/>
        </w:rPr>
      </w:pPr>
    </w:p>
    <w:p>
      <w:pPr>
        <w:jc w:val="both"/>
        <w:ind w:firstLine="1663"/>
        <w:spacing w:after="0" w:line="239" w:lineRule="auto"/>
        <w:rPr>
          <w:sz w:val="20"/>
          <w:szCs w:val="20"/>
          <w:color w:val="auto"/>
        </w:rPr>
      </w:pPr>
      <w:r>
        <w:rPr>
          <w:rFonts w:ascii="Times New Roman" w:cs="Times New Roman" w:eastAsia="Times New Roman" w:hAnsi="Times New Roman"/>
          <w:sz w:val="22"/>
          <w:szCs w:val="22"/>
          <w:color w:val="auto"/>
        </w:rPr>
        <w:t xml:space="preserve">26.2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80"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 xml:space="preserve">26.3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will be governed by, and construed in accordance with, the laws of the State of Delaware, but without regard to its conflict of law provisions.</w:t>
      </w:r>
    </w:p>
    <w:p>
      <w:pPr>
        <w:spacing w:after="0" w:line="158"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22"/>
          <w:szCs w:val="22"/>
          <w:color w:val="auto"/>
        </w:rPr>
        <w:t xml:space="preserve">26.4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are provided herein for convenience only, and will not serve as a basis for interpretation of the Plan.</w:t>
      </w:r>
    </w:p>
    <w:p>
      <w:pPr>
        <w:spacing w:after="0" w:line="158" w:lineRule="exact"/>
        <w:rPr>
          <w:sz w:val="20"/>
          <w:szCs w:val="20"/>
          <w:color w:val="auto"/>
        </w:rPr>
      </w:pPr>
    </w:p>
    <w:p>
      <w:pPr>
        <w:ind w:firstLine="840"/>
        <w:spacing w:after="0" w:line="258" w:lineRule="auto"/>
        <w:tabs>
          <w:tab w:leader="none" w:pos="175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Laws</w:t>
      </w:r>
      <w:r>
        <w:rPr>
          <w:rFonts w:ascii="Times New Roman" w:cs="Times New Roman" w:eastAsia="Times New Roman" w:hAnsi="Times New Roman"/>
          <w:sz w:val="22"/>
          <w:szCs w:val="22"/>
          <w:color w:val="auto"/>
        </w:rPr>
        <w:t>. The terms of this Plan are intended to comply with all Applicable Laws and will be construed accordingly.</w:t>
      </w:r>
    </w:p>
    <w:p>
      <w:pPr>
        <w:spacing w:after="0" w:line="158" w:lineRule="exact"/>
        <w:rPr>
          <w:rFonts w:ascii="Times New Roman" w:cs="Times New Roman" w:eastAsia="Times New Roman" w:hAnsi="Times New Roman"/>
          <w:sz w:val="22"/>
          <w:szCs w:val="22"/>
          <w:color w:val="auto"/>
        </w:rPr>
      </w:pPr>
    </w:p>
    <w:p>
      <w:pPr>
        <w:jc w:val="both"/>
        <w:ind w:firstLine="840"/>
        <w:spacing w:after="0" w:line="239" w:lineRule="auto"/>
        <w:tabs>
          <w:tab w:leader="none" w:pos="175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Transfer to Low Price Offering Period</w:t>
      </w:r>
      <w:r>
        <w:rPr>
          <w:rFonts w:ascii="Times New Roman" w:cs="Times New Roman" w:eastAsia="Times New Roman" w:hAnsi="Times New Roman"/>
          <w:sz w:val="22"/>
          <w:szCs w:val="22"/>
          <w:color w:val="auto"/>
        </w:rPr>
        <w:t>. 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1" w:name="page392"/>
    <w:bookmarkEnd w:id="391"/>
    <w:p>
      <w:pPr>
        <w:jc w:val="both"/>
        <w:spacing w:after="0" w:line="257" w:lineRule="exact"/>
        <w:rPr>
          <w:sz w:val="20"/>
          <w:szCs w:val="20"/>
          <w:color w:val="auto"/>
        </w:rPr>
      </w:pPr>
      <w:r>
        <w:rPr>
          <w:rFonts w:ascii="Times New Roman" w:cs="Times New Roman" w:eastAsia="Times New Roman" w:hAnsi="Times New Roman"/>
          <w:sz w:val="22"/>
          <w:szCs w:val="22"/>
          <w:color w:val="auto"/>
        </w:rPr>
        <w:t>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enrolled in the immediately following Offering Period as of the first day thereof.</w:t>
      </w:r>
    </w:p>
    <w:p>
      <w:pPr>
        <w:spacing w:after="0" w:line="177"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2" w:name="page393"/>
    <w:bookmarkEnd w:id="39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2020 EMPLOYEE STOCK PURCHASE PLAN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SUBSCRIPTION AGREEMENT</w:t>
      </w:r>
    </w:p>
    <w:p>
      <w:pPr>
        <w:spacing w:after="0" w:line="210" w:lineRule="exact"/>
        <w:rPr>
          <w:sz w:val="20"/>
          <w:szCs w:val="20"/>
          <w:color w:val="auto"/>
        </w:rPr>
      </w:pPr>
    </w:p>
    <w:p>
      <w:pPr>
        <w:ind w:left="840"/>
        <w:spacing w:after="0"/>
        <w:tabs>
          <w:tab w:leader="none" w:pos="6740" w:val="left"/>
        </w:tabs>
        <w:rPr>
          <w:sz w:val="20"/>
          <w:szCs w:val="20"/>
          <w:color w:val="auto"/>
        </w:rPr>
      </w:pPr>
      <w:r>
        <w:rPr>
          <w:rFonts w:ascii="Times New Roman" w:cs="Times New Roman" w:eastAsia="Times New Roman" w:hAnsi="Times New Roman"/>
          <w:sz w:val="22"/>
          <w:szCs w:val="22"/>
          <w:color w:val="auto"/>
        </w:rPr>
        <w:t>Original Application</w:t>
      </w:r>
      <w:r>
        <w:rPr>
          <w:sz w:val="20"/>
          <w:szCs w:val="20"/>
          <w:color w:val="auto"/>
        </w:rPr>
        <w:tab/>
      </w:r>
      <w:r>
        <w:rPr>
          <w:rFonts w:ascii="Times New Roman" w:cs="Times New Roman" w:eastAsia="Times New Roman" w:hAnsi="Times New Roman"/>
          <w:sz w:val="21"/>
          <w:szCs w:val="21"/>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10795</wp:posOffset>
            </wp:positionV>
            <wp:extent cx="17576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0">
                      <a:extLst>
                        <a:ext uri="{28A0092B-C50C-407E-A947-70E740481C1C}"/>
                      </a:extLst>
                    </a:blip>
                    <a:srcRect/>
                    <a:stretch>
                      <a:fillRect/>
                    </a:stretch>
                  </pic:blipFill>
                  <pic:spPr bwMode="auto">
                    <a:xfrm>
                      <a:off x="0" y="0"/>
                      <a:ext cx="1757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53149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Change in Payroll Deduction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3149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840"/>
        <w:spacing w:after="0" w:line="239" w:lineRule="auto"/>
        <w:tabs>
          <w:tab w:leader="none" w:pos="164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 hereby elects to participate in the Athira Pharma, Inc. 2020 Employee Stock Purchase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80" w:lineRule="exact"/>
        <w:rPr>
          <w:rFonts w:ascii="Times New Roman" w:cs="Times New Roman" w:eastAsia="Times New Roman" w:hAnsi="Times New Roman"/>
          <w:sz w:val="22"/>
          <w:szCs w:val="22"/>
          <w:color w:val="auto"/>
        </w:rPr>
      </w:pPr>
    </w:p>
    <w:p>
      <w:pPr>
        <w:jc w:val="both"/>
        <w:ind w:firstLine="840"/>
        <w:spacing w:after="0" w:line="236" w:lineRule="auto"/>
        <w:tabs>
          <w:tab w:leader="none" w:pos="164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81" w:lineRule="exact"/>
        <w:rPr>
          <w:rFonts w:ascii="Times New Roman" w:cs="Times New Roman" w:eastAsia="Times New Roman" w:hAnsi="Times New Roman"/>
          <w:sz w:val="22"/>
          <w:szCs w:val="22"/>
          <w:color w:val="auto"/>
        </w:rPr>
      </w:pPr>
    </w:p>
    <w:p>
      <w:pPr>
        <w:jc w:val="both"/>
        <w:ind w:firstLine="840"/>
        <w:spacing w:after="0" w:line="238" w:lineRule="auto"/>
        <w:tabs>
          <w:tab w:leader="none" w:pos="164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76" w:lineRule="exact"/>
        <w:rPr>
          <w:rFonts w:ascii="Times New Roman" w:cs="Times New Roman" w:eastAsia="Times New Roman" w:hAnsi="Times New Roman"/>
          <w:sz w:val="22"/>
          <w:szCs w:val="22"/>
          <w:color w:val="auto"/>
        </w:rPr>
      </w:pPr>
    </w:p>
    <w:p>
      <w:pPr>
        <w:ind w:firstLine="840"/>
        <w:spacing w:after="0" w:line="258" w:lineRule="auto"/>
        <w:tabs>
          <w:tab w:leader="none" w:pos="164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received a copy of the complete Plan and its accompanying prospectus. I understand that my participation in the Plan is in all respects subject to the terms of the Plan.</w:t>
      </w:r>
    </w:p>
    <w:p>
      <w:pPr>
        <w:spacing w:after="0" w:line="158" w:lineRule="exact"/>
        <w:rPr>
          <w:rFonts w:ascii="Times New Roman" w:cs="Times New Roman" w:eastAsia="Times New Roman" w:hAnsi="Times New Roman"/>
          <w:sz w:val="22"/>
          <w:szCs w:val="22"/>
          <w:color w:val="auto"/>
        </w:rPr>
      </w:pPr>
    </w:p>
    <w:p>
      <w:pPr>
        <w:ind w:left="1660" w:hanging="820"/>
        <w:spacing w:after="0"/>
        <w:tabs>
          <w:tab w:leader="none" w:pos="1660"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Common Stock purchased for me under the Plan should be issued in the name(s) of _____________</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(Eligible Employee or Eligible Employee and spouse only).</w:t>
      </w:r>
    </w:p>
    <w:p>
      <w:pPr>
        <w:spacing w:after="0" w:line="182" w:lineRule="exact"/>
        <w:rPr>
          <w:rFonts w:ascii="Times New Roman" w:cs="Times New Roman" w:eastAsia="Times New Roman" w:hAnsi="Times New Roman"/>
          <w:sz w:val="21"/>
          <w:szCs w:val="21"/>
          <w:color w:val="auto"/>
        </w:rPr>
      </w:pPr>
    </w:p>
    <w:p>
      <w:pPr>
        <w:jc w:val="both"/>
        <w:ind w:firstLine="840"/>
        <w:spacing w:after="0" w:line="239" w:lineRule="auto"/>
        <w:tabs>
          <w:tab w:leader="none" w:pos="164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4946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3" w:name="page394"/>
    <w:bookmarkEnd w:id="39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amount equal to the excess of the fair market value of the shares at the time such shares were purchased by me over the price that I paid for the shares. </w:t>
      </w:r>
      <w:r>
        <w:rPr>
          <w:rFonts w:ascii="Times New Roman" w:cs="Times New Roman" w:eastAsia="Times New Roman" w:hAnsi="Times New Roman"/>
          <w:sz w:val="22"/>
          <w:szCs w:val="22"/>
          <w:u w:val="single" w:color="auto"/>
          <w:color w:val="auto"/>
        </w:rPr>
        <w:t>I hereby agree to notify the Company in writing within thirty (30) days after the date of any disposition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my shares and I will make adequate provision for federal, state or other tax withholding obligations, if any, which arise upon the disposition of the Common Stock</w:t>
      </w:r>
      <w:r>
        <w:rPr>
          <w:rFonts w:ascii="Times New Roman" w:cs="Times New Roman" w:eastAsia="Times New Roman" w:hAnsi="Times New Roman"/>
          <w:sz w:val="22"/>
          <w:szCs w:val="22"/>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85" w:lineRule="exact"/>
        <w:rPr>
          <w:sz w:val="20"/>
          <w:szCs w:val="20"/>
          <w:color w:val="auto"/>
        </w:rPr>
      </w:pPr>
    </w:p>
    <w:p>
      <w:pPr>
        <w:jc w:val="both"/>
        <w:ind w:firstLine="840"/>
        <w:spacing w:after="0" w:line="254" w:lineRule="exact"/>
        <w:tabs>
          <w:tab w:leader="none" w:pos="1642"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cs="Times New Roman" w:eastAsia="Times New Roman" w:hAnsi="Times New Roman"/>
          <w:sz w:val="21"/>
          <w:szCs w:val="21"/>
          <w:u w:val="single" w:color="auto"/>
          <w:color w:val="auto"/>
        </w:rPr>
        <w:t>Tax</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Related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Items</w:t>
      </w:r>
      <w:r>
        <w:rPr>
          <w:rFonts w:ascii="Times New Roman" w:cs="Times New Roman" w:eastAsia="Times New Roman" w:hAnsi="Times New Roman"/>
          <w:sz w:val="21"/>
          <w:szCs w:val="21"/>
          <w:color w:val="auto"/>
        </w:rPr>
        <w:t>”), the ultimate liability for all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in connection with any aspect of the options under the Plan and (b) do not commit to and are under no obligation to structure the terms of the grant of options or any aspect of my participation in the Plan to reduce or eliminate my liability for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in more than one jurisdiction.</w:t>
      </w:r>
    </w:p>
    <w:p>
      <w:pPr>
        <w:spacing w:after="0" w:line="160" w:lineRule="exact"/>
        <w:rPr>
          <w:sz w:val="20"/>
          <w:szCs w:val="20"/>
          <w:color w:val="auto"/>
        </w:rPr>
      </w:pPr>
    </w:p>
    <w:p>
      <w:pPr>
        <w:jc w:val="both"/>
        <w:ind w:firstLine="832"/>
        <w:spacing w:after="0" w:line="251" w:lineRule="exact"/>
        <w:rPr>
          <w:sz w:val="20"/>
          <w:szCs w:val="20"/>
          <w:color w:val="auto"/>
        </w:rPr>
      </w:pPr>
      <w:r>
        <w:rPr>
          <w:rFonts w:ascii="Times New Roman" w:cs="Times New Roman" w:eastAsia="Times New Roman" w:hAnsi="Times New Roman"/>
          <w:sz w:val="22"/>
          <w:szCs w:val="22"/>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 In this regard, I authorize the Company and/or the applicable Designated Company, or their respective agents, at their discretion, to satisfy any applicable withholding obligations with regard to all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4" w:name="page395"/>
    <w:bookmarkEnd w:id="394"/>
    <w:p>
      <w:pPr>
        <w:jc w:val="both"/>
        <w:spacing w:after="0" w:line="298" w:lineRule="exact"/>
        <w:rPr>
          <w:sz w:val="20"/>
          <w:szCs w:val="20"/>
          <w:color w:val="auto"/>
        </w:rPr>
      </w:pPr>
      <w:r>
        <w:rPr>
          <w:rFonts w:ascii="Times New Roman" w:cs="Times New Roman" w:eastAsia="Times New Roman" w:hAnsi="Times New Roman"/>
          <w:sz w:val="22"/>
          <w:szCs w:val="22"/>
          <w:color w:val="auto"/>
        </w:rPr>
        <w:t>or account for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 by considering applicable maximum withholding rates, in which case I will receive a refund of any over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withheld amount in cash and will have no entitlement to the Common Stock equivalent.</w:t>
      </w:r>
    </w:p>
    <w:p>
      <w:pPr>
        <w:spacing w:after="0" w:line="135" w:lineRule="exact"/>
        <w:rPr>
          <w:sz w:val="20"/>
          <w:szCs w:val="20"/>
          <w:color w:val="auto"/>
        </w:rPr>
      </w:pPr>
    </w:p>
    <w:p>
      <w:pPr>
        <w:jc w:val="both"/>
        <w:ind w:firstLine="832"/>
        <w:spacing w:after="0" w:line="265" w:lineRule="exact"/>
        <w:rPr>
          <w:sz w:val="20"/>
          <w:szCs w:val="20"/>
          <w:color w:val="auto"/>
        </w:rPr>
      </w:pPr>
      <w:r>
        <w:rPr>
          <w:rFonts w:ascii="Times New Roman" w:cs="Times New Roman" w:eastAsia="Times New Roman" w:hAnsi="Times New Roman"/>
          <w:sz w:val="22"/>
          <w:szCs w:val="22"/>
          <w:color w:val="auto"/>
        </w:rPr>
        <w:t>Finally, I agree to pay to the Company or the applicable Designated Company any amount of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w:t>
      </w:r>
    </w:p>
    <w:p>
      <w:pPr>
        <w:spacing w:after="0" w:line="156" w:lineRule="exact"/>
        <w:rPr>
          <w:sz w:val="20"/>
          <w:szCs w:val="20"/>
          <w:color w:val="auto"/>
        </w:rPr>
      </w:pPr>
    </w:p>
    <w:p>
      <w:pPr>
        <w:ind w:left="1660" w:hanging="820"/>
        <w:spacing w:after="0"/>
        <w:tabs>
          <w:tab w:leader="none" w:pos="166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electing to participate in the Plan, I acknowledge, understand and agree that:</w:t>
      </w:r>
    </w:p>
    <w:p>
      <w:pPr>
        <w:spacing w:after="0" w:line="206" w:lineRule="exact"/>
        <w:rPr>
          <w:rFonts w:ascii="Times New Roman" w:cs="Times New Roman" w:eastAsia="Times New Roman" w:hAnsi="Times New Roman"/>
          <w:sz w:val="22"/>
          <w:szCs w:val="22"/>
          <w:color w:val="auto"/>
        </w:rPr>
      </w:pPr>
    </w:p>
    <w:p>
      <w:pPr>
        <w:ind w:firstLine="1671"/>
        <w:spacing w:after="0" w:line="258" w:lineRule="auto"/>
        <w:tabs>
          <w:tab w:leader="none" w:pos="255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provided for in the Plan;</w:t>
      </w:r>
    </w:p>
    <w:p>
      <w:pPr>
        <w:spacing w:after="0" w:line="158"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grants under the Plan, if applicable, will be at the sole discretion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Company;</w:t>
      </w:r>
    </w:p>
    <w:p>
      <w:pPr>
        <w:spacing w:after="0" w:line="182" w:lineRule="exact"/>
        <w:rPr>
          <w:rFonts w:ascii="Times New Roman" w:cs="Times New Roman" w:eastAsia="Times New Roman" w:hAnsi="Times New Roman"/>
          <w:sz w:val="21"/>
          <w:szCs w:val="21"/>
          <w:color w:val="auto"/>
        </w:rPr>
      </w:pPr>
    </w:p>
    <w:p>
      <w:pPr>
        <w:jc w:val="both"/>
        <w:ind w:firstLine="1671"/>
        <w:spacing w:after="0" w:line="244" w:lineRule="auto"/>
        <w:tabs>
          <w:tab w:leader="none" w:pos="255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73"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Plan;</w:t>
      </w:r>
    </w:p>
    <w:p>
      <w:pPr>
        <w:spacing w:after="0" w:line="206" w:lineRule="exact"/>
        <w:rPr>
          <w:rFonts w:ascii="Times New Roman" w:cs="Times New Roman" w:eastAsia="Times New Roman" w:hAnsi="Times New Roman"/>
          <w:sz w:val="22"/>
          <w:szCs w:val="22"/>
          <w:color w:val="auto"/>
        </w:rPr>
      </w:pPr>
    </w:p>
    <w:p>
      <w:pPr>
        <w:ind w:firstLine="1671"/>
        <w:spacing w:after="0" w:line="258" w:lineRule="auto"/>
        <w:tabs>
          <w:tab w:leader="none" w:pos="255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granted under the Plan and the shares of Common Stock underlying such options, and the income and value of same,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671"/>
        <w:spacing w:after="0" w:line="257" w:lineRule="exact"/>
        <w:tabs>
          <w:tab w:leader="none" w:pos="2527"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service payments, bonuses,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service awards, pension or retirement benefits or similar payments;</w:t>
      </w:r>
    </w:p>
    <w:p>
      <w:pPr>
        <w:spacing w:after="0" w:line="176" w:lineRule="exact"/>
        <w:rPr>
          <w:rFonts w:ascii="Times New Roman" w:cs="Times New Roman" w:eastAsia="Times New Roman" w:hAnsi="Times New Roman"/>
          <w:sz w:val="22"/>
          <w:szCs w:val="22"/>
          <w:color w:val="auto"/>
        </w:rPr>
      </w:pPr>
    </w:p>
    <w:p>
      <w:pPr>
        <w:ind w:firstLine="1671"/>
        <w:spacing w:after="0" w:line="258" w:lineRule="auto"/>
        <w:tabs>
          <w:tab w:leader="none" w:pos="2563"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of Common Stock offered under the Plan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ind w:left="2580" w:hanging="909"/>
        <w:spacing w:after="0"/>
        <w:tabs>
          <w:tab w:leader="none" w:pos="2580"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Common Stock that I acquire under the Plan may increase or decrease in value, even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the Purchase Price;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395" w:name="page396"/>
    <w:bookmarkEnd w:id="395"/>
    <w:p>
      <w:pPr>
        <w:jc w:val="both"/>
        <w:ind w:firstLine="1671"/>
        <w:spacing w:after="0" w:line="247" w:lineRule="auto"/>
        <w:tabs>
          <w:tab w:leader="none" w:pos="2515"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71" w:lineRule="exact"/>
        <w:rPr>
          <w:rFonts w:ascii="Times New Roman" w:cs="Times New Roman" w:eastAsia="Times New Roman" w:hAnsi="Times New Roman"/>
          <w:sz w:val="21"/>
          <w:szCs w:val="21"/>
          <w:color w:val="auto"/>
        </w:rPr>
      </w:pPr>
    </w:p>
    <w:p>
      <w:pPr>
        <w:jc w:val="both"/>
        <w:ind w:firstLine="1671"/>
        <w:spacing w:after="0" w:line="234" w:lineRule="auto"/>
        <w:tabs>
          <w:tab w:leader="none" w:pos="2515"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active employment would not include a period of “</w:t>
      </w:r>
      <w:r>
        <w:rPr>
          <w:rFonts w:ascii="Times New Roman" w:cs="Times New Roman" w:eastAsia="Times New Roman" w:hAnsi="Times New Roman"/>
          <w:sz w:val="22"/>
          <w:szCs w:val="22"/>
          <w:u w:val="single" w:color="auto"/>
          <w:color w:val="auto"/>
        </w:rPr>
        <w:t>garden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leave</w:t>
      </w:r>
      <w:r>
        <w:rPr>
          <w:rFonts w:ascii="Times New Roman" w:cs="Times New Roman" w:eastAsia="Times New Roman" w:hAnsi="Times New Roman"/>
          <w:sz w:val="22"/>
          <w:szCs w:val="22"/>
          <w:color w:val="auto"/>
        </w:rPr>
        <w:t>”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75" w:lineRule="exact"/>
        <w:rPr>
          <w:rFonts w:ascii="Times New Roman" w:cs="Times New Roman" w:eastAsia="Times New Roman" w:hAnsi="Times New Roman"/>
          <w:sz w:val="22"/>
          <w:szCs w:val="22"/>
          <w:color w:val="auto"/>
        </w:rPr>
      </w:pPr>
    </w:p>
    <w:p>
      <w:pPr>
        <w:jc w:val="both"/>
        <w:ind w:firstLine="840"/>
        <w:spacing w:after="0" w:line="233" w:lineRule="auto"/>
        <w:tabs>
          <w:tab w:leader="none" w:pos="1642" w:val="left"/>
        </w:tabs>
        <w:numPr>
          <w:ilvl w:val="0"/>
          <w:numId w:val="30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 w:cs="Times New Roman" w:eastAsia="Times New Roman" w:hAnsi="Times New Roman"/>
          <w:sz w:val="22"/>
          <w:szCs w:val="22"/>
          <w:i w:val="1"/>
          <w:iCs w:val="1"/>
          <w:u w:val="single" w:color="auto"/>
          <w:color w:val="auto"/>
        </w:rPr>
        <w:t>Data</w:t>
      </w:r>
      <w:r>
        <w:rPr>
          <w:rFonts w:ascii="Times New Roman" w:cs="Times New Roman" w:eastAsia="Times New Roman" w:hAnsi="Times New Roman"/>
          <w:sz w:val="22"/>
          <w:szCs w:val="22"/>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6" w:name="page397"/>
    <w:bookmarkEnd w:id="396"/>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76"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2"/>
          <w:szCs w:val="22"/>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72" w:lineRule="exact"/>
        <w:rPr>
          <w:sz w:val="20"/>
          <w:szCs w:val="20"/>
          <w:color w:val="auto"/>
        </w:rPr>
      </w:pPr>
    </w:p>
    <w:p>
      <w:pPr>
        <w:jc w:val="both"/>
        <w:ind w:firstLine="832"/>
        <w:spacing w:after="0" w:line="238" w:lineRule="auto"/>
        <w:rPr>
          <w:sz w:val="20"/>
          <w:szCs w:val="20"/>
          <w:color w:val="auto"/>
        </w:rPr>
      </w:pPr>
      <w:r>
        <w:rPr>
          <w:rFonts w:ascii="Times New Roman" w:cs="Times New Roman" w:eastAsia="Times New Roman" w:hAnsi="Times New Roman"/>
          <w:sz w:val="22"/>
          <w:szCs w:val="22"/>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81" w:lineRule="exact"/>
        <w:rPr>
          <w:sz w:val="20"/>
          <w:szCs w:val="20"/>
          <w:color w:val="auto"/>
        </w:rPr>
      </w:pPr>
    </w:p>
    <w:p>
      <w:pPr>
        <w:jc w:val="both"/>
        <w:ind w:firstLine="840"/>
        <w:spacing w:after="0" w:line="244" w:lineRule="auto"/>
        <w:tabs>
          <w:tab w:leader="none" w:pos="175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73" w:lineRule="exact"/>
        <w:rPr>
          <w:rFonts w:ascii="Times New Roman" w:cs="Times New Roman" w:eastAsia="Times New Roman" w:hAnsi="Times New Roman"/>
          <w:sz w:val="22"/>
          <w:szCs w:val="22"/>
          <w:color w:val="auto"/>
        </w:rPr>
      </w:pPr>
    </w:p>
    <w:p>
      <w:pPr>
        <w:jc w:val="both"/>
        <w:ind w:firstLine="840"/>
        <w:spacing w:after="0" w:line="244" w:lineRule="auto"/>
        <w:tabs>
          <w:tab w:leader="none" w:pos="1742"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73" w:lineRule="exact"/>
        <w:rPr>
          <w:rFonts w:ascii="Times New Roman" w:cs="Times New Roman" w:eastAsia="Times New Roman" w:hAnsi="Times New Roman"/>
          <w:sz w:val="22"/>
          <w:szCs w:val="22"/>
          <w:color w:val="auto"/>
        </w:rPr>
      </w:pPr>
    </w:p>
    <w:p>
      <w:pPr>
        <w:jc w:val="both"/>
        <w:ind w:firstLine="840"/>
        <w:spacing w:after="0" w:line="248" w:lineRule="auto"/>
        <w:tabs>
          <w:tab w:leader="none" w:pos="1750"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7" w:name="page398"/>
    <w:bookmarkEnd w:id="397"/>
    <w:p>
      <w:pPr>
        <w:ind w:firstLine="840"/>
        <w:spacing w:after="0" w:line="258" w:lineRule="auto"/>
        <w:tabs>
          <w:tab w:leader="none" w:pos="175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agree to be bound by the terms of the Plan. The effectiveness of this Subscription Agreement is dependent upon my eligibility to participate in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Employee’s Social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Number</w:t>
      </w:r>
    </w:p>
    <w:p>
      <w:pPr>
        <w:spacing w:after="0" w:line="253" w:lineRule="exact"/>
        <w:rPr>
          <w:sz w:val="20"/>
          <w:szCs w:val="20"/>
          <w:color w:val="auto"/>
        </w:rPr>
      </w:pPr>
      <w:r>
        <w:rPr>
          <w:rFonts w:ascii="Times New Roman" w:cs="Times New Roman" w:eastAsia="Times New Roman" w:hAnsi="Times New Roman"/>
          <w:sz w:val="22"/>
          <w:szCs w:val="22"/>
          <w:color w:val="auto"/>
        </w:rPr>
        <w:t>(for U.S.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635</wp:posOffset>
            </wp:positionV>
            <wp:extent cx="354901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302260</wp:posOffset>
            </wp:positionV>
            <wp:extent cx="354901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9">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156845</wp:posOffset>
            </wp:positionV>
            <wp:extent cx="354901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0">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10795</wp:posOffset>
            </wp:positionV>
            <wp:extent cx="354901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832"/>
        <w:spacing w:after="0" w:line="258" w:lineRule="auto"/>
        <w:rPr>
          <w:sz w:val="20"/>
          <w:szCs w:val="20"/>
          <w:color w:val="auto"/>
        </w:rPr>
      </w:pPr>
      <w:r>
        <w:rPr>
          <w:rFonts w:ascii="Times New Roman" w:cs="Times New Roman" w:eastAsia="Times New Roman" w:hAnsi="Times New Roman"/>
          <w:sz w:val="22"/>
          <w:szCs w:val="22"/>
          <w:color w:val="auto"/>
        </w:rPr>
        <w:t>I UNDERSTAND THAT THIS SUBSCRIPTION AGREEMENT WILL REMAIN IN EFFECT THROUGHOUT SUCCESSIVE OFFERING PERIODS UNLESS TERMINATED BY 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10795</wp:posOffset>
            </wp:positionV>
            <wp:extent cx="237426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2">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10795</wp:posOffset>
            </wp:positionV>
            <wp:extent cx="220281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2"/>
          <w:szCs w:val="22"/>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8" w:name="page399"/>
    <w:bookmarkEnd w:id="39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EMPLOYEE STOCK PURCHASE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WITHDRAWAL</w:t>
      </w:r>
    </w:p>
    <w:p>
      <w:pPr>
        <w:spacing w:after="0" w:line="210" w:lineRule="exact"/>
        <w:rPr>
          <w:sz w:val="20"/>
          <w:szCs w:val="20"/>
          <w:color w:val="auto"/>
        </w:rPr>
      </w:pPr>
    </w:p>
    <w:p>
      <w:pPr>
        <w:jc w:val="both"/>
        <w:ind w:right="20" w:firstLine="832"/>
        <w:spacing w:after="0" w:line="241" w:lineRule="auto"/>
        <w:rPr>
          <w:sz w:val="20"/>
          <w:szCs w:val="20"/>
          <w:color w:val="auto"/>
        </w:rPr>
      </w:pPr>
      <w:r>
        <w:rPr>
          <w:rFonts w:ascii="Times New Roman" w:cs="Times New Roman" w:eastAsia="Times New Roman" w:hAnsi="Times New Roman"/>
          <w:sz w:val="22"/>
          <w:szCs w:val="22"/>
          <w:color w:val="auto"/>
        </w:rPr>
        <w:t>The undersigned Participant in the Offering Period of the Athira Pharma, Inc. 2020 Employee Stock Purchase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that began on ____________, ______ (the “</w:t>
      </w:r>
      <w:r>
        <w:rPr>
          <w:rFonts w:ascii="Times New Roman" w:cs="Times New Roman" w:eastAsia="Times New Roman" w:hAnsi="Times New Roman"/>
          <w:sz w:val="22"/>
          <w:szCs w:val="22"/>
          <w:u w:val="single" w:color="auto"/>
          <w:color w:val="auto"/>
        </w:rPr>
        <w:t>Offering Date</w:t>
      </w:r>
      <w:r>
        <w:rPr>
          <w:rFonts w:ascii="Times New Roman" w:cs="Times New Roman" w:eastAsia="Times New Roman" w:hAnsi="Times New Roman"/>
          <w:sz w:val="22"/>
          <w:szCs w:val="22"/>
          <w:color w:val="auto"/>
        </w:rPr>
        <w:t>”) hereby notifies the Company that he or she hereby</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17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439420</wp:posOffset>
            </wp:positionV>
            <wp:extent cx="28460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5">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294005</wp:posOffset>
            </wp:positionV>
            <wp:extent cx="28460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6">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147955</wp:posOffset>
            </wp:positionV>
            <wp:extent cx="284607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147955</wp:posOffset>
            </wp:positionV>
            <wp:extent cx="284607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10795</wp:posOffset>
            </wp:positionV>
            <wp:extent cx="228028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LEASE</w:t>
      </w:r>
    </w:p>
    <w:p>
      <w:pPr>
        <w:spacing w:after="0" w:line="2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NORTH CREEK PARKWAY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NORTH CREEK PARKWAY CENTER INVESTORS, LP,</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 California limited partnership,</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 Landlord,</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2553970</wp:posOffset>
            </wp:positionV>
            <wp:extent cx="714946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 PREMISES, BUILDING, PROJECT, AND COMMON AREAS</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1</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Premises, Building, Project and Common Areas.</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1</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Stipulation of Rentable Square Feet of Premises</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2</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1.3</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Additional Reservations</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2</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1.4</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No Representations/Warranties</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2</w:t>
            </w:r>
          </w:p>
        </w:tc>
      </w:t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 LEASE TERM</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3</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Lease Term</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3</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Delivery of Possession</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3</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2.3</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Delay in Possession</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4</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2.4</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Delays Caused by Tenant</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4</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2.5</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Early Possession</w:t>
            </w:r>
          </w:p>
        </w:tc>
        <w:tc>
          <w:tcPr>
            <w:tcW w:w="2200" w:type="dxa"/>
            <w:vAlign w:val="bottom"/>
          </w:tcPr>
          <w:p>
            <w:pPr>
              <w:spacing w:after="0"/>
              <w:rPr>
                <w:sz w:val="21"/>
                <w:szCs w:val="21"/>
                <w:color w:val="auto"/>
              </w:rPr>
            </w:pP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2.6</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[Intentionally omitted.]</w:t>
            </w:r>
          </w:p>
        </w:tc>
        <w:tc>
          <w:tcPr>
            <w:tcW w:w="2200" w:type="dxa"/>
            <w:vAlign w:val="bottom"/>
          </w:tcPr>
          <w:p>
            <w:pPr>
              <w:spacing w:after="0"/>
              <w:rPr>
                <w:sz w:val="21"/>
                <w:szCs w:val="21"/>
                <w:color w:val="auto"/>
              </w:rPr>
            </w:pP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2.7</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[Intentionally omitted.]</w:t>
            </w:r>
          </w:p>
        </w:tc>
        <w:tc>
          <w:tcPr>
            <w:tcW w:w="2200" w:type="dxa"/>
            <w:vAlign w:val="bottom"/>
          </w:tcPr>
          <w:p>
            <w:pPr>
              <w:spacing w:after="0"/>
              <w:rPr>
                <w:sz w:val="21"/>
                <w:szCs w:val="21"/>
                <w:color w:val="auto"/>
              </w:rPr>
            </w:pPr>
          </w:p>
        </w:tc>
      </w:t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3. BASE RENT</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6</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3.1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 General</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6</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3.2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[Intentionally omitted.]</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6</w:t>
            </w:r>
          </w:p>
        </w:tc>
      </w:t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4. ADDITIONAL RENT</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7</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4.1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General Terms</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7</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4.2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Definition of Key Terms Relating to Additional Rent</w:t>
            </w:r>
          </w:p>
        </w:tc>
        <w:tc>
          <w:tcPr>
            <w:tcW w:w="220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7</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4.3</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Cost Pools/Utilities Expenses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11</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4.4</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Calculation and Payment of Additional Rent</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12</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4.5</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Taxes and Other Charges for Which Tenant Is Directly Responsible</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13</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4.6</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[Intentionally omitted.]</w:t>
            </w:r>
          </w:p>
        </w:tc>
        <w:tc>
          <w:tcPr>
            <w:tcW w:w="2200" w:type="dxa"/>
            <w:vAlign w:val="bottom"/>
          </w:tcPr>
          <w:p>
            <w:pPr>
              <w:spacing w:after="0"/>
              <w:rPr>
                <w:sz w:val="21"/>
                <w:szCs w:val="21"/>
                <w:color w:val="auto"/>
              </w:rPr>
            </w:pPr>
          </w:p>
        </w:tc>
      </w:t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5. USE OF PREMISES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13</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5.1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Permitted Use</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13</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5.2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Hazardous Materials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14</w:t>
            </w:r>
          </w:p>
        </w:tc>
      </w:t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6. SERVICES AND UTILITIES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15</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6.1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Standard Tenant Services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15</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6.2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Above Standard Tenant Services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16</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6.3</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Overstandard Tenant Use</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16</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6.4</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Interruption of Use</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17</w:t>
            </w:r>
          </w:p>
        </w:tc>
      </w:t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7. REPAIRS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17</w:t>
            </w:r>
          </w:p>
        </w:tc>
      </w:t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8. ADDITIONS AND ALTERATIONS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8.1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Alterations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8.2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Manner of Construction</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8.3</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Payment for Improvements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19</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8.4</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Landlord’s Property</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19</w:t>
            </w:r>
          </w:p>
        </w:tc>
      </w:t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9. COVENANT AGAINST LIENS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19</w:t>
            </w:r>
          </w:p>
        </w:tc>
      </w:tr>
      <w:tr>
        <w:trPr>
          <w:trHeight w:val="24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10. INDEMNITY AND INSURANCE</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20</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10.1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Indemnification</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20</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10.2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Tenant’s Compliance With Landlord’s Fire and Casualty Insurance</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21</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10.3</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Tenant’s Insurance</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21</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10.4</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Form of Policies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22</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10.5</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Subrogation</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22</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10.6</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Additional Insurance Obligations</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22</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10.8</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[Intentionally omitted.]</w:t>
            </w:r>
          </w:p>
        </w:tc>
        <w:tc>
          <w:tcPr>
            <w:tcW w:w="2200" w:type="dxa"/>
            <w:vAlign w:val="bottom"/>
          </w:tcPr>
          <w:p>
            <w:pPr>
              <w:spacing w:after="0"/>
              <w:rPr>
                <w:sz w:val="21"/>
                <w:szCs w:val="21"/>
                <w:color w:val="auto"/>
              </w:rPr>
            </w:pPr>
          </w:p>
        </w:tc>
      </w:tr>
      <w:tr>
        <w:trPr>
          <w:trHeight w:val="247"/>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11. DAMAGE AND DESTRUCTION</w:t>
            </w:r>
          </w:p>
        </w:tc>
        <w:tc>
          <w:tcPr>
            <w:tcW w:w="2200" w:type="dxa"/>
            <w:vAlign w:val="bottom"/>
          </w:tcPr>
          <w:p>
            <w:pPr>
              <w:jc w:val="center"/>
              <w:ind w:left="1501"/>
              <w:spacing w:after="0"/>
              <w:rPr>
                <w:sz w:val="20"/>
                <w:szCs w:val="20"/>
                <w:color w:val="auto"/>
              </w:rPr>
            </w:pPr>
            <w:r>
              <w:rPr>
                <w:rFonts w:ascii="Times New Roman" w:cs="Times New Roman" w:eastAsia="Times New Roman" w:hAnsi="Times New Roman"/>
                <w:sz w:val="20"/>
                <w:szCs w:val="20"/>
                <w:b w:val="1"/>
                <w:bCs w:val="1"/>
                <w:color w:val="auto"/>
                <w:w w:val="99"/>
              </w:rPr>
              <w:t>23</w:t>
            </w:r>
          </w:p>
        </w:tc>
      </w:tr>
      <w:tr>
        <w:trPr>
          <w:trHeight w:val="258"/>
        </w:trPr>
        <w:tc>
          <w:tcPr>
            <w:tcW w:w="1400" w:type="dxa"/>
            <w:vAlign w:val="bottom"/>
          </w:tcPr>
          <w:p>
            <w:pPr>
              <w:spacing w:after="0"/>
              <w:rPr>
                <w:sz w:val="22"/>
                <w:szCs w:val="22"/>
                <w:color w:val="auto"/>
              </w:rPr>
            </w:pPr>
          </w:p>
        </w:tc>
        <w:tc>
          <w:tcPr>
            <w:tcW w:w="7660" w:type="dxa"/>
            <w:vAlign w:val="bottom"/>
          </w:tcPr>
          <w:p>
            <w:pPr>
              <w:ind w:left="4140"/>
              <w:spacing w:after="0"/>
              <w:rPr>
                <w:sz w:val="20"/>
                <w:szCs w:val="20"/>
                <w:color w:val="auto"/>
              </w:rPr>
            </w:pPr>
            <w:r>
              <w:rPr>
                <w:rFonts w:ascii="Times New Roman" w:cs="Times New Roman" w:eastAsia="Times New Roman" w:hAnsi="Times New Roman"/>
                <w:sz w:val="20"/>
                <w:szCs w:val="20"/>
                <w:color w:val="auto"/>
              </w:rPr>
              <w:t>-i-</w:t>
            </w:r>
          </w:p>
        </w:tc>
        <w:tc>
          <w:tcPr>
            <w:tcW w:w="2200" w:type="dxa"/>
            <w:vAlign w:val="bottom"/>
          </w:tcPr>
          <w:p>
            <w:pPr>
              <w:spacing w:after="0"/>
              <w:rPr>
                <w:sz w:val="22"/>
                <w:szCs w:val="22"/>
                <w:color w:val="auto"/>
              </w:rPr>
            </w:pPr>
          </w:p>
        </w:tc>
      </w:tr>
      <w:tr>
        <w:trPr>
          <w:trHeight w:val="109"/>
        </w:trPr>
        <w:tc>
          <w:tcPr>
            <w:tcW w:w="1400" w:type="dxa"/>
            <w:vAlign w:val="bottom"/>
            <w:tcBorders>
              <w:bottom w:val="single" w:sz="8" w:color="9A9A9A"/>
            </w:tcBorders>
          </w:tcPr>
          <w:p>
            <w:pPr>
              <w:spacing w:after="0"/>
              <w:rPr>
                <w:sz w:val="9"/>
                <w:szCs w:val="9"/>
                <w:color w:val="auto"/>
              </w:rPr>
            </w:pPr>
          </w:p>
        </w:tc>
        <w:tc>
          <w:tcPr>
            <w:tcW w:w="766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9" w:right="31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43"/>
        </w:trPr>
        <w:tc>
          <w:tcPr>
            <w:tcW w:w="9860" w:type="dxa"/>
            <w:vAlign w:val="bottom"/>
            <w:gridSpan w:val="2"/>
          </w:tcPr>
          <w:p>
            <w:pPr>
              <w:ind w:left="900"/>
              <w:spacing w:after="0"/>
              <w:rPr>
                <w:sz w:val="20"/>
                <w:szCs w:val="20"/>
                <w:color w:val="auto"/>
              </w:rPr>
            </w:pPr>
            <w:r>
              <w:rPr>
                <w:rFonts w:ascii="Times New Roman" w:cs="Times New Roman" w:eastAsia="Times New Roman" w:hAnsi="Times New Roman"/>
                <w:sz w:val="20"/>
                <w:szCs w:val="20"/>
                <w:b w:val="1"/>
                <w:bCs w:val="1"/>
                <w:color w:val="auto"/>
              </w:rPr>
              <w:t>11.1   Repair of Damage to Premises by Landlord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r>
      <w:tr>
        <w:trPr>
          <w:trHeight w:val="243"/>
        </w:trPr>
        <w:tc>
          <w:tcPr>
            <w:tcW w:w="9860" w:type="dxa"/>
            <w:vAlign w:val="bottom"/>
            <w:gridSpan w:val="2"/>
          </w:tcPr>
          <w:p>
            <w:pPr>
              <w:ind w:left="900"/>
              <w:spacing w:after="0"/>
              <w:rPr>
                <w:sz w:val="20"/>
                <w:szCs w:val="20"/>
                <w:color w:val="auto"/>
              </w:rPr>
            </w:pPr>
            <w:r>
              <w:rPr>
                <w:rFonts w:ascii="Times New Roman" w:cs="Times New Roman" w:eastAsia="Times New Roman" w:hAnsi="Times New Roman"/>
                <w:sz w:val="20"/>
                <w:szCs w:val="20"/>
                <w:b w:val="1"/>
                <w:bCs w:val="1"/>
                <w:color w:val="auto"/>
              </w:rPr>
              <w:t>11.2   Landlord’s Option to Repair</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r>
      <w:tr>
        <w:trPr>
          <w:trHeight w:val="243"/>
        </w:trPr>
        <w:tc>
          <w:tcPr>
            <w:tcW w:w="9860" w:type="dxa"/>
            <w:vAlign w:val="bottom"/>
            <w:gridSpan w:val="2"/>
          </w:tcPr>
          <w:p>
            <w:pPr>
              <w:ind w:left="900"/>
              <w:spacing w:after="0"/>
              <w:rPr>
                <w:sz w:val="20"/>
                <w:szCs w:val="20"/>
                <w:color w:val="auto"/>
              </w:rPr>
            </w:pPr>
            <w:r>
              <w:rPr>
                <w:rFonts w:ascii="Times New Roman" w:cs="Times New Roman" w:eastAsia="Times New Roman" w:hAnsi="Times New Roman"/>
                <w:sz w:val="20"/>
                <w:szCs w:val="20"/>
                <w:b w:val="1"/>
                <w:bCs w:val="1"/>
                <w:color w:val="auto"/>
              </w:rPr>
              <w:t>11.3   Waiver of Statutory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12. NON-WAIVER</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13. CONDEMNATION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14. ASSIGNMENT AND SUBLETTING</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14.1</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Transfers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14.2</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Landlord’s Consent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14.3</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Transfer Premium</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14.4</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Landlord’s Option as to Subject Space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14.5</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Effect of Transfer</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14.6</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Additional Transfers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14.7</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Occurrence of Default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14.8</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[Intentionally omitted.]</w:t>
            </w:r>
          </w:p>
        </w:tc>
        <w:tc>
          <w:tcPr>
            <w:tcW w:w="1200" w:type="dxa"/>
            <w:vAlign w:val="bottom"/>
          </w:tcPr>
          <w:p>
            <w:pPr>
              <w:spacing w:after="0"/>
              <w:rPr>
                <w:sz w:val="21"/>
                <w:szCs w:val="21"/>
                <w:color w:val="auto"/>
              </w:rPr>
            </w:pP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15. SURRENDER OF PREMISES; OWNERSHIP AND REMOVAL OF TRADE FIXTURES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15.1</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Surrender of Premises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15.2</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Removal of Tenant Property by Tenant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16. HOLDING OVER</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17. ESTOPPEL CERTIFICATES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18. SUBORDINATION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19. DEFAULTS; REMEDIES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19.1</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Events of Default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19.2</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Remedies Upon Default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19.3</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Sublessees of Tenant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19.4</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Waiver of Default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20. FORCE MAJEURE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21. SECURITY DEPOSIT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22. SUBSTITUTION OF OTHER PREMISES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23. SIGNS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24. COMPLIANCE WITH LAW</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24.1</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General</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24.2</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Accessibility/ADA Compliance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25. LATE CHARGES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26. LANDLORD’S RIGHT TO CURE DEFAULT; PAYMENTS BY TENANT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27. ENTRY BY LANDLORD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28. TENANT PARKING</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r>
      <w:tr>
        <w:trPr>
          <w:trHeight w:val="243"/>
        </w:trPr>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29. MISCELLANEOUS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Transfer of Landlord’s Interest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Time of Essence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29.3</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No Air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29.4</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Prohibition Against Recording</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29.5</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Landlord’s Title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29.6</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Application of Payments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29.7</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Partial Invalidity</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r>
      <w:tr>
        <w:trPr>
          <w:trHeight w:val="243"/>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29.8</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Landlord Exculpation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w:t>
            </w:r>
          </w:p>
        </w:tc>
      </w:tr>
      <w:tr>
        <w:trPr>
          <w:trHeight w:val="262"/>
        </w:trPr>
        <w:tc>
          <w:tcPr>
            <w:tcW w:w="14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29.9</w:t>
            </w:r>
          </w:p>
        </w:tc>
        <w:tc>
          <w:tcPr>
            <w:tcW w:w="84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Entire Agreement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w:t>
            </w:r>
          </w:p>
        </w:tc>
      </w:tr>
    </w:tbl>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4946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56" w:right="519" w:bottom="144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29.10</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Waiver of Redemption by Tenant</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39</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29.11</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Notices</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39</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29.12</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Attorneys’ Fees</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40</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29.13</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Governing Law</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40</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29.14</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Brokers</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40</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29.15</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Independent Covenants</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41</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29.16</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No Representations or Warranties by Landlord</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41</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29.17</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Development of the Building and Project.</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41</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29.18</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Binding Effect</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42</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29.19</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Modification of Lease</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42</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29.20</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Quiet Enjoyment</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42</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29.21</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Relationship of Parties</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42</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29.22</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Security Measures</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43</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29.23</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Counterparts/ “Person”</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43</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29.24</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Modifications</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43</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29.25</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Right to Lease</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43</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29.26</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Survival</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43</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29.27</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No Warranty</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44</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29.28</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Joint and Several</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44</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29.29</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Authority; No Violation</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44</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29.30</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Submission of Lease</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44</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29.31</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Building Name and Signage</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44</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29.32</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Transportation Management</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44</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29.33</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Lease Guaranty</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45</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29.34</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Confidentiality</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45</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29.35</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No Discrimination</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45</w:t>
            </w:r>
          </w:p>
        </w:tc>
      </w:tr>
      <w:tr>
        <w:trPr>
          <w:trHeight w:val="243"/>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29.40</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Intentionally Deleted.</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99"/>
              </w:rPr>
              <w:t>47</w:t>
            </w:r>
          </w:p>
        </w:tc>
      </w:tr>
      <w:tr>
        <w:trPr>
          <w:trHeight w:val="262"/>
        </w:trPr>
        <w:tc>
          <w:tcPr>
            <w:tcW w:w="1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29.42</w:t>
            </w:r>
          </w:p>
        </w:tc>
        <w:tc>
          <w:tcPr>
            <w:tcW w:w="6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Dispute Resolution Procedure.</w:t>
            </w:r>
          </w:p>
        </w:tc>
        <w:tc>
          <w:tcPr>
            <w:tcW w:w="2940" w:type="dxa"/>
            <w:vAlign w:val="bottom"/>
          </w:tcPr>
          <w:p>
            <w:pPr>
              <w:spacing w:after="0"/>
              <w:rPr>
                <w:sz w:val="22"/>
                <w:szCs w:val="22"/>
                <w:color w:val="auto"/>
              </w:rPr>
            </w:pPr>
          </w:p>
        </w:tc>
      </w:tr>
      <w:tr>
        <w:trPr>
          <w:trHeight w:val="486"/>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OUTLINE OF PREMISES</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rPr>
              <w:t>A-1</w:t>
            </w:r>
          </w:p>
        </w:tc>
      </w:tr>
      <w:tr>
        <w:trPr>
          <w:trHeight w:val="486"/>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LEGAL DESCRIPTION OF PROJECT</w:t>
            </w:r>
          </w:p>
        </w:tc>
        <w:tc>
          <w:tcPr>
            <w:tcW w:w="2940" w:type="dxa"/>
            <w:vAlign w:val="bottom"/>
          </w:tcPr>
          <w:p>
            <w:pPr>
              <w:jc w:val="center"/>
              <w:ind w:left="2501"/>
              <w:spacing w:after="0"/>
              <w:rPr>
                <w:sz w:val="20"/>
                <w:szCs w:val="20"/>
                <w:color w:val="auto"/>
              </w:rPr>
            </w:pPr>
            <w:r>
              <w:rPr>
                <w:rFonts w:ascii="Times New Roman" w:cs="Times New Roman" w:eastAsia="Times New Roman" w:hAnsi="Times New Roman"/>
                <w:sz w:val="20"/>
                <w:szCs w:val="20"/>
                <w:b w:val="1"/>
                <w:bCs w:val="1"/>
                <w:color w:val="auto"/>
                <w:w w:val="96"/>
              </w:rPr>
              <w:t>C</w:t>
            </w:r>
          </w:p>
        </w:tc>
      </w:tr>
      <w:tr>
        <w:trPr>
          <w:trHeight w:val="486"/>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TENANT WORK LETTER</w:t>
            </w:r>
          </w:p>
        </w:tc>
        <w:tc>
          <w:tcPr>
            <w:tcW w:w="2940" w:type="dxa"/>
            <w:vAlign w:val="bottom"/>
          </w:tcPr>
          <w:p>
            <w:pPr>
              <w:jc w:val="center"/>
              <w:ind w:left="2521"/>
              <w:spacing w:after="0"/>
              <w:rPr>
                <w:sz w:val="20"/>
                <w:szCs w:val="20"/>
                <w:color w:val="auto"/>
              </w:rPr>
            </w:pPr>
            <w:r>
              <w:rPr>
                <w:rFonts w:ascii="Times New Roman" w:cs="Times New Roman" w:eastAsia="Times New Roman" w:hAnsi="Times New Roman"/>
                <w:sz w:val="20"/>
                <w:szCs w:val="20"/>
                <w:b w:val="1"/>
                <w:bCs w:val="1"/>
                <w:color w:val="auto"/>
                <w:w w:val="89"/>
              </w:rPr>
              <w:t>B</w:t>
            </w:r>
          </w:p>
        </w:tc>
      </w:tr>
      <w:tr>
        <w:trPr>
          <w:trHeight w:val="486"/>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FORM OF TENANT’S ESTOPPEL CERTIFICATE</w:t>
            </w:r>
          </w:p>
        </w:tc>
        <w:tc>
          <w:tcPr>
            <w:tcW w:w="2940" w:type="dxa"/>
            <w:vAlign w:val="bottom"/>
          </w:tcPr>
          <w:p>
            <w:pPr>
              <w:jc w:val="center"/>
              <w:ind w:left="2501"/>
              <w:spacing w:after="0"/>
              <w:rPr>
                <w:sz w:val="20"/>
                <w:szCs w:val="20"/>
                <w:color w:val="auto"/>
              </w:rPr>
            </w:pPr>
            <w:r>
              <w:rPr>
                <w:rFonts w:ascii="Times New Roman" w:cs="Times New Roman" w:eastAsia="Times New Roman" w:hAnsi="Times New Roman"/>
                <w:sz w:val="20"/>
                <w:szCs w:val="20"/>
                <w:b w:val="1"/>
                <w:bCs w:val="1"/>
                <w:color w:val="auto"/>
                <w:w w:val="96"/>
              </w:rPr>
              <w:t>C</w:t>
            </w:r>
          </w:p>
        </w:tc>
      </w:tr>
      <w:tr>
        <w:trPr>
          <w:trHeight w:val="486"/>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RULES AND REGULATIONS</w:t>
            </w:r>
          </w:p>
        </w:tc>
        <w:tc>
          <w:tcPr>
            <w:tcW w:w="2940" w:type="dxa"/>
            <w:vAlign w:val="bottom"/>
          </w:tcPr>
          <w:p>
            <w:pPr>
              <w:jc w:val="center"/>
              <w:ind w:left="2501"/>
              <w:spacing w:after="0"/>
              <w:rPr>
                <w:sz w:val="20"/>
                <w:szCs w:val="20"/>
                <w:color w:val="auto"/>
              </w:rPr>
            </w:pPr>
            <w:r>
              <w:rPr>
                <w:rFonts w:ascii="Times New Roman" w:cs="Times New Roman" w:eastAsia="Times New Roman" w:hAnsi="Times New Roman"/>
                <w:sz w:val="20"/>
                <w:szCs w:val="20"/>
                <w:b w:val="1"/>
                <w:bCs w:val="1"/>
                <w:color w:val="auto"/>
                <w:w w:val="96"/>
              </w:rPr>
              <w:t>D</w:t>
            </w:r>
          </w:p>
        </w:tc>
      </w:tr>
      <w:tr>
        <w:trPr>
          <w:trHeight w:val="486"/>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[Intentionally omitted.]</w:t>
            </w:r>
          </w:p>
        </w:tc>
        <w:tc>
          <w:tcPr>
            <w:tcW w:w="29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iii</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4946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56" w:right="459" w:bottom="1440" w:gutter="0" w:footer="0" w:header="0"/>
        </w:sectPr>
      </w:pPr>
    </w:p>
    <w:bookmarkStart w:id="403" w:name="page404"/>
    <w:bookmarkEnd w:id="40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NORTH CREEK PARKWAY CENTER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LEASE</w:t>
      </w:r>
    </w:p>
    <w:p>
      <w:pPr>
        <w:spacing w:after="0" w:line="216" w:lineRule="exact"/>
        <w:rPr>
          <w:sz w:val="20"/>
          <w:szCs w:val="20"/>
          <w:color w:val="auto"/>
        </w:rPr>
      </w:pPr>
    </w:p>
    <w:p>
      <w:pPr>
        <w:jc w:val="both"/>
        <w:ind w:firstLine="832"/>
        <w:spacing w:after="0" w:line="256" w:lineRule="auto"/>
        <w:rPr>
          <w:sz w:val="20"/>
          <w:szCs w:val="20"/>
          <w:color w:val="auto"/>
        </w:rPr>
      </w:pPr>
      <w:r>
        <w:rPr>
          <w:rFonts w:ascii="Times New Roman" w:cs="Times New Roman" w:eastAsia="Times New Roman" w:hAnsi="Times New Roman"/>
          <w:sz w:val="20"/>
          <w:szCs w:val="20"/>
          <w:color w:val="auto"/>
        </w:rPr>
        <w:t>This Lease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xml:space="preserve">”), dated as of the date set forth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of the Summary of Basic Lease Information (the “</w:t>
      </w:r>
      <w:r>
        <w:rPr>
          <w:rFonts w:ascii="Times New Roman" w:cs="Times New Roman" w:eastAsia="Times New Roman" w:hAnsi="Times New Roman"/>
          <w:sz w:val="20"/>
          <w:szCs w:val="20"/>
          <w:b w:val="1"/>
          <w:bCs w:val="1"/>
          <w:color w:val="auto"/>
        </w:rPr>
        <w:t>Summary</w:t>
      </w:r>
      <w:r>
        <w:rPr>
          <w:rFonts w:ascii="Times New Roman" w:cs="Times New Roman" w:eastAsia="Times New Roman" w:hAnsi="Times New Roman"/>
          <w:sz w:val="20"/>
          <w:szCs w:val="20"/>
          <w:color w:val="auto"/>
        </w:rPr>
        <w:t xml:space="preserve">”), below, is made by and between </w:t>
      </w:r>
      <w:r>
        <w:rPr>
          <w:rFonts w:ascii="Times New Roman" w:cs="Times New Roman" w:eastAsia="Times New Roman" w:hAnsi="Times New Roman"/>
          <w:sz w:val="20"/>
          <w:szCs w:val="20"/>
          <w:b w:val="1"/>
          <w:bCs w:val="1"/>
          <w:color w:val="auto"/>
        </w:rPr>
        <w:t>NORTH CREEK PARKWAY CENTER INVESTORS, LP, a California limited partnership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ATHIRA PHARMA, INC., a Delaware corporation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BASIC LEASE INFORMATION</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24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TERMS OF LEASE</w:t>
            </w:r>
          </w:p>
        </w:tc>
        <w:tc>
          <w:tcPr>
            <w:tcW w:w="4460" w:type="dxa"/>
            <w:vAlign w:val="bottom"/>
            <w:gridSpan w:val="2"/>
          </w:tcPr>
          <w:p>
            <w:pPr>
              <w:ind w:left="3180"/>
              <w:spacing w:after="0"/>
              <w:rPr>
                <w:sz w:val="20"/>
                <w:szCs w:val="20"/>
                <w:color w:val="auto"/>
              </w:rPr>
            </w:pPr>
            <w:r>
              <w:rPr>
                <w:rFonts w:ascii="Times New Roman" w:cs="Times New Roman" w:eastAsia="Times New Roman" w:hAnsi="Times New Roman"/>
                <w:sz w:val="20"/>
                <w:szCs w:val="20"/>
                <w:color w:val="auto"/>
                <w:w w:val="96"/>
              </w:rPr>
              <w:t>DESCRIPTION</w:t>
            </w:r>
          </w:p>
        </w:tc>
      </w:tr>
      <w:tr>
        <w:trPr>
          <w:trHeight w:val="485"/>
        </w:trPr>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1.</w:t>
            </w:r>
          </w:p>
        </w:tc>
        <w:tc>
          <w:tcPr>
            <w:tcW w:w="1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Effective Date:</w:t>
            </w:r>
          </w:p>
        </w:tc>
        <w:tc>
          <w:tcPr>
            <w:tcW w:w="162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318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July 20, 2020</w:t>
            </w:r>
          </w:p>
        </w:tc>
        <w:tc>
          <w:tcPr>
            <w:tcW w:w="1280" w:type="dxa"/>
            <w:vAlign w:val="bottom"/>
            <w:tcBorders>
              <w:top w:val="single" w:sz="8" w:color="auto"/>
            </w:tcBorders>
          </w:tcPr>
          <w:p>
            <w:pPr>
              <w:spacing w:after="0"/>
              <w:rPr>
                <w:sz w:val="24"/>
                <w:szCs w:val="24"/>
                <w:color w:val="auto"/>
              </w:rPr>
            </w:pPr>
          </w:p>
        </w:tc>
      </w:tr>
    </w:tbl>
    <w:p>
      <w:pPr>
        <w:spacing w:after="0" w:line="187" w:lineRule="exact"/>
        <w:rPr>
          <w:sz w:val="20"/>
          <w:szCs w:val="20"/>
          <w:color w:val="auto"/>
        </w:rPr>
      </w:pPr>
    </w:p>
    <w:p>
      <w:pPr>
        <w:ind w:left="700" w:hanging="692"/>
        <w:spacing w:after="0"/>
        <w:tabs>
          <w:tab w:leader="none" w:pos="70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Premises: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2.1</w:t>
            </w:r>
          </w:p>
        </w:tc>
        <w:tc>
          <w:tcPr>
            <w:tcW w:w="2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Building:</w:t>
            </w: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That certain building (the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 designated as Building 5</w:t>
            </w:r>
          </w:p>
        </w:tc>
      </w:tr>
      <w:tr>
        <w:trPr>
          <w:trHeight w:val="258"/>
        </w:trPr>
        <w:tc>
          <w:tcPr>
            <w:tcW w:w="5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located at 18706 North Creek Parkway, Bothell, Washington 98021.</w:t>
            </w:r>
          </w:p>
        </w:tc>
      </w:tr>
      <w:tr>
        <w:trPr>
          <w:trHeight w:val="417"/>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2.2</w:t>
            </w:r>
          </w:p>
        </w:tc>
        <w:tc>
          <w:tcPr>
            <w:tcW w:w="2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Premises:</w:t>
            </w: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Approximately  19,326  consisting  of  (a)  approximately  11,163</w:t>
            </w:r>
          </w:p>
        </w:tc>
      </w:tr>
      <w:tr>
        <w:trPr>
          <w:trHeight w:val="229"/>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rentable square feet of space commonly known as Suite 104 (“Suite</w:t>
            </w:r>
          </w:p>
        </w:tc>
      </w:tr>
      <w:tr>
        <w:trPr>
          <w:trHeight w:val="229"/>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104”),  (b)  approximately  6,169  rentable  square  feet  of  space</w:t>
            </w:r>
          </w:p>
        </w:tc>
      </w:tr>
      <w:tr>
        <w:trPr>
          <w:trHeight w:val="230"/>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commonly known as Suite 110 (“Suite 110”), and (c) approximately</w:t>
            </w:r>
          </w:p>
        </w:tc>
      </w:tr>
      <w:tr>
        <w:trPr>
          <w:trHeight w:val="229"/>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1,994 rentable square feet of space commonly known as Suite 120</w:t>
            </w:r>
          </w:p>
        </w:tc>
      </w:tr>
      <w:tr>
        <w:trPr>
          <w:trHeight w:val="226"/>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320" w:type="dxa"/>
            <w:vAlign w:val="bottom"/>
            <w:gridSpan w:val="7"/>
          </w:tcPr>
          <w:p>
            <w:pPr>
              <w:ind w:left="1780"/>
              <w:spacing w:after="0" w:line="226" w:lineRule="exact"/>
              <w:rPr>
                <w:sz w:val="20"/>
                <w:szCs w:val="20"/>
                <w:color w:val="auto"/>
              </w:rPr>
            </w:pPr>
            <w:r>
              <w:rPr>
                <w:rFonts w:ascii="Times New Roman" w:cs="Times New Roman" w:eastAsia="Times New Roman" w:hAnsi="Times New Roman"/>
                <w:sz w:val="20"/>
                <w:szCs w:val="20"/>
                <w:color w:val="auto"/>
              </w:rPr>
              <w:t>(“Suite 120”), all of which is located on the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floor of the</w:t>
            </w:r>
          </w:p>
        </w:tc>
      </w:tr>
      <w:tr>
        <w:trPr>
          <w:trHeight w:val="216"/>
        </w:trPr>
        <w:tc>
          <w:tcPr>
            <w:tcW w:w="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320" w:type="dxa"/>
            <w:vAlign w:val="bottom"/>
            <w:gridSpan w:val="7"/>
          </w:tcPr>
          <w:p>
            <w:pPr>
              <w:ind w:left="1780"/>
              <w:spacing w:after="0" w:line="216" w:lineRule="exact"/>
              <w:rPr>
                <w:sz w:val="20"/>
                <w:szCs w:val="20"/>
                <w:color w:val="auto"/>
              </w:rPr>
            </w:pPr>
            <w:r>
              <w:rPr>
                <w:rFonts w:ascii="Times New Roman" w:cs="Times New Roman" w:eastAsia="Times New Roman" w:hAnsi="Times New Roman"/>
                <w:sz w:val="20"/>
                <w:szCs w:val="20"/>
                <w:color w:val="auto"/>
                <w:w w:val="99"/>
              </w:rPr>
              <w:t xml:space="preserve">Building, as further set forth in </w:t>
            </w:r>
            <w:r>
              <w:rPr>
                <w:rFonts w:ascii="Times New Roman" w:cs="Times New Roman" w:eastAsia="Times New Roman" w:hAnsi="Times New Roman"/>
                <w:sz w:val="20"/>
                <w:szCs w:val="20"/>
                <w:b w:val="1"/>
                <w:bCs w:val="1"/>
                <w:color w:val="auto"/>
                <w:w w:val="99"/>
              </w:rPr>
              <w:t>Exhibit A</w:t>
            </w:r>
            <w:r>
              <w:rPr>
                <w:rFonts w:ascii="Times New Roman" w:cs="Times New Roman" w:eastAsia="Times New Roman" w:hAnsi="Times New Roman"/>
                <w:sz w:val="20"/>
                <w:szCs w:val="20"/>
                <w:color w:val="auto"/>
                <w:w w:val="99"/>
              </w:rPr>
              <w:t xml:space="preserve"> attached to this Lease. The</w:t>
            </w:r>
          </w:p>
        </w:tc>
      </w:tr>
      <w:tr>
        <w:trPr>
          <w:trHeight w:val="20"/>
        </w:trPr>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320" w:type="dxa"/>
            <w:vAlign w:val="bottom"/>
            <w:gridSpan w:val="7"/>
          </w:tcPr>
          <w:p>
            <w:pPr>
              <w:ind w:left="1780"/>
              <w:spacing w:after="0" w:line="228" w:lineRule="exact"/>
              <w:rPr>
                <w:sz w:val="20"/>
                <w:szCs w:val="20"/>
                <w:color w:val="auto"/>
              </w:rPr>
            </w:pPr>
            <w:r>
              <w:rPr>
                <w:rFonts w:ascii="Times New Roman" w:cs="Times New Roman" w:eastAsia="Times New Roman" w:hAnsi="Times New Roman"/>
                <w:sz w:val="20"/>
                <w:szCs w:val="20"/>
                <w:color w:val="auto"/>
                <w:w w:val="98"/>
              </w:rPr>
              <w:t>rentable square feet of Suites 110 and 120 will be confirmed Pursuant</w:t>
            </w:r>
          </w:p>
        </w:tc>
      </w:tr>
      <w:tr>
        <w:trPr>
          <w:trHeight w:val="229"/>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to Section 1.2 below as of their respective Lease Commencement</w:t>
            </w:r>
          </w:p>
        </w:tc>
      </w:tr>
      <w:tr>
        <w:trPr>
          <w:trHeight w:val="258"/>
        </w:trPr>
        <w:tc>
          <w:tcPr>
            <w:tcW w:w="5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Dates.</w:t>
            </w:r>
          </w:p>
        </w:tc>
      </w:tr>
      <w:tr>
        <w:trPr>
          <w:trHeight w:val="417"/>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2.3</w:t>
            </w:r>
          </w:p>
        </w:tc>
        <w:tc>
          <w:tcPr>
            <w:tcW w:w="2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Project:</w:t>
            </w:r>
          </w:p>
        </w:tc>
        <w:tc>
          <w:tcPr>
            <w:tcW w:w="7320" w:type="dxa"/>
            <w:vAlign w:val="bottom"/>
            <w:gridSpan w:val="7"/>
          </w:tcPr>
          <w:p>
            <w:pPr>
              <w:ind w:left="1780"/>
              <w:spacing w:after="0"/>
              <w:rPr>
                <w:sz w:val="20"/>
                <w:szCs w:val="20"/>
                <w:color w:val="auto"/>
              </w:rPr>
            </w:pPr>
            <w:r>
              <w:rPr>
                <w:rFonts w:ascii="Times New Roman" w:cs="Times New Roman" w:eastAsia="Times New Roman" w:hAnsi="Times New Roman"/>
                <w:sz w:val="20"/>
                <w:szCs w:val="20"/>
                <w:color w:val="auto"/>
              </w:rPr>
              <w:t>The Building is part of a project known as “North Creek Parkway</w:t>
            </w:r>
          </w:p>
        </w:tc>
      </w:tr>
      <w:tr>
        <w:trPr>
          <w:trHeight w:val="212"/>
        </w:trPr>
        <w:tc>
          <w:tcPr>
            <w:tcW w:w="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320" w:type="dxa"/>
            <w:vAlign w:val="bottom"/>
            <w:gridSpan w:val="7"/>
          </w:tcPr>
          <w:p>
            <w:pPr>
              <w:ind w:left="1780"/>
              <w:spacing w:after="0" w:line="212" w:lineRule="exact"/>
              <w:rPr>
                <w:sz w:val="20"/>
                <w:szCs w:val="20"/>
                <w:color w:val="auto"/>
              </w:rPr>
            </w:pPr>
            <w:r>
              <w:rPr>
                <w:rFonts w:ascii="Times New Roman" w:cs="Times New Roman" w:eastAsia="Times New Roman" w:hAnsi="Times New Roman"/>
                <w:sz w:val="20"/>
                <w:szCs w:val="20"/>
                <w:color w:val="auto"/>
              </w:rPr>
              <w:t>Center,” as further set forth in Section 1.1.2 of this Lease and legally</w:t>
            </w:r>
          </w:p>
        </w:tc>
      </w:tr>
      <w:tr>
        <w:trPr>
          <w:trHeight w:val="20"/>
        </w:trPr>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320" w:type="dxa"/>
            <w:vAlign w:val="bottom"/>
            <w:gridSpan w:val="7"/>
          </w:tcPr>
          <w:p>
            <w:pPr>
              <w:ind w:left="1780"/>
              <w:spacing w:after="0" w:line="209" w:lineRule="exact"/>
              <w:rPr>
                <w:sz w:val="20"/>
                <w:szCs w:val="20"/>
                <w:color w:val="auto"/>
              </w:rPr>
            </w:pPr>
            <w:r>
              <w:rPr>
                <w:rFonts w:ascii="Times New Roman" w:cs="Times New Roman" w:eastAsia="Times New Roman" w:hAnsi="Times New Roman"/>
                <w:sz w:val="20"/>
                <w:szCs w:val="20"/>
                <w:color w:val="auto"/>
              </w:rPr>
              <w:t xml:space="preserve">described in </w:t>
            </w:r>
            <w:r>
              <w:rPr>
                <w:rFonts w:ascii="Times New Roman" w:cs="Times New Roman" w:eastAsia="Times New Roman" w:hAnsi="Times New Roman"/>
                <w:sz w:val="20"/>
                <w:szCs w:val="20"/>
                <w:b w:val="1"/>
                <w:bCs w:val="1"/>
                <w:color w:val="auto"/>
              </w:rPr>
              <w:t>Exhibit A-1</w:t>
            </w:r>
            <w:r>
              <w:rPr>
                <w:rFonts w:ascii="Times New Roman" w:cs="Times New Roman" w:eastAsia="Times New Roman" w:hAnsi="Times New Roman"/>
                <w:sz w:val="20"/>
                <w:szCs w:val="20"/>
                <w:color w:val="auto"/>
              </w:rPr>
              <w:t xml:space="preserve"> attached to this Lease.</w:t>
            </w:r>
          </w:p>
        </w:tc>
      </w:tr>
      <w:tr>
        <w:trPr>
          <w:trHeight w:val="20"/>
        </w:trPr>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660" w:right="9660" w:hanging="652"/>
        <w:spacing w:after="0" w:line="295" w:lineRule="auto"/>
        <w:tabs>
          <w:tab w:leader="none" w:pos="655"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 Term (Article 2):</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3.1</w:t>
            </w:r>
          </w:p>
        </w:tc>
        <w:tc>
          <w:tcPr>
            <w:tcW w:w="3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Length of Term:</w:t>
            </w:r>
          </w:p>
        </w:tc>
        <w:tc>
          <w:tcPr>
            <w:tcW w:w="7040" w:type="dxa"/>
            <w:vAlign w:val="bottom"/>
          </w:tcPr>
          <w:p>
            <w:pPr>
              <w:ind w:left="1500"/>
              <w:spacing w:after="0"/>
              <w:rPr>
                <w:sz w:val="20"/>
                <w:szCs w:val="20"/>
                <w:color w:val="auto"/>
              </w:rPr>
            </w:pPr>
            <w:r>
              <w:rPr>
                <w:rFonts w:ascii="Times New Roman" w:cs="Times New Roman" w:eastAsia="Times New Roman" w:hAnsi="Times New Roman"/>
                <w:sz w:val="20"/>
                <w:szCs w:val="20"/>
                <w:color w:val="auto"/>
              </w:rPr>
              <w:t>Eighty-four (84) months, from September 1, 2020, through August</w:t>
            </w:r>
          </w:p>
        </w:tc>
      </w:tr>
      <w:tr>
        <w:trPr>
          <w:trHeight w:val="258"/>
        </w:trPr>
        <w:tc>
          <w:tcPr>
            <w:tcW w:w="5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7040" w:type="dxa"/>
            <w:vAlign w:val="bottom"/>
          </w:tcPr>
          <w:p>
            <w:pPr>
              <w:ind w:left="1500"/>
              <w:spacing w:after="0"/>
              <w:rPr>
                <w:sz w:val="20"/>
                <w:szCs w:val="20"/>
                <w:color w:val="auto"/>
              </w:rPr>
            </w:pPr>
            <w:r>
              <w:rPr>
                <w:rFonts w:ascii="Times New Roman" w:cs="Times New Roman" w:eastAsia="Times New Roman" w:hAnsi="Times New Roman"/>
                <w:sz w:val="20"/>
                <w:szCs w:val="20"/>
                <w:color w:val="auto"/>
              </w:rPr>
              <w:t>31, 2027.</w:t>
            </w: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04" w:name="page405"/>
    <w:bookmarkEnd w:id="404"/>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3.2</w:t>
            </w:r>
          </w:p>
        </w:tc>
        <w:tc>
          <w:tcPr>
            <w:tcW w:w="3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Lease Commencement Date:</w:t>
            </w:r>
          </w:p>
        </w:tc>
        <w:tc>
          <w:tcPr>
            <w:tcW w:w="65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September 1, 2020 with respect to Suite 104. Tenant’s lease of Suite</w:t>
            </w:r>
          </w:p>
        </w:tc>
      </w:tr>
      <w:tr>
        <w:trPr>
          <w:trHeight w:val="230"/>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5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110 shall commence on March 1, 2021, and Tenant’s lease of Suite</w:t>
            </w:r>
          </w:p>
        </w:tc>
      </w:tr>
      <w:tr>
        <w:trPr>
          <w:trHeight w:val="258"/>
        </w:trPr>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65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120 shall commence on May 1, 2021.</w:t>
            </w:r>
          </w:p>
        </w:tc>
      </w:tr>
      <w:tr>
        <w:trPr>
          <w:trHeight w:val="446"/>
        </w:trPr>
        <w:tc>
          <w:tcPr>
            <w:tcW w:w="4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3.3</w:t>
            </w:r>
          </w:p>
        </w:tc>
        <w:tc>
          <w:tcPr>
            <w:tcW w:w="3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Lease Expiration Date:</w:t>
            </w:r>
          </w:p>
        </w:tc>
        <w:tc>
          <w:tcPr>
            <w:tcW w:w="65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August 31, 2027.</w:t>
            </w:r>
          </w:p>
        </w:tc>
      </w:tr>
      <w:tr>
        <w:trPr>
          <w:trHeight w:val="446"/>
        </w:trPr>
        <w:tc>
          <w:tcPr>
            <w:tcW w:w="4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3.4</w:t>
            </w:r>
          </w:p>
        </w:tc>
        <w:tc>
          <w:tcPr>
            <w:tcW w:w="3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Option to Renew:</w:t>
            </w:r>
          </w:p>
        </w:tc>
        <w:tc>
          <w:tcPr>
            <w:tcW w:w="65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One (1) option to renew for five (5) years.</w:t>
            </w:r>
          </w:p>
        </w:tc>
      </w:tr>
      <w:tr>
        <w:trPr>
          <w:trHeight w:val="399"/>
        </w:trPr>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4.</w:t>
            </w:r>
          </w:p>
        </w:tc>
        <w:tc>
          <w:tcPr>
            <w:tcW w:w="4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Base Rent (Article 3):</w:t>
            </w:r>
          </w:p>
        </w:tc>
        <w:tc>
          <w:tcPr>
            <w:tcW w:w="65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gridSpan w:val="5"/>
          </w:tcPr>
          <w:p>
            <w:pPr>
              <w:ind w:left="460"/>
              <w:spacing w:after="0"/>
              <w:rPr>
                <w:sz w:val="20"/>
                <w:szCs w:val="20"/>
                <w:color w:val="auto"/>
              </w:rPr>
            </w:pPr>
            <w:r>
              <w:rPr>
                <w:rFonts w:ascii="Times New Roman" w:cs="Times New Roman" w:eastAsia="Times New Roman" w:hAnsi="Times New Roman"/>
                <w:sz w:val="20"/>
                <w:szCs w:val="20"/>
                <w:b w:val="1"/>
                <w:bCs w:val="1"/>
                <w:color w:val="auto"/>
              </w:rPr>
              <w:t>SUITE 104 BASE RENT</w:t>
            </w:r>
          </w:p>
        </w:tc>
      </w:tr>
      <w:tr>
        <w:trPr>
          <w:trHeight w:val="20"/>
        </w:trPr>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Months:</w:t>
            </w:r>
          </w:p>
        </w:tc>
        <w:tc>
          <w:tcPr>
            <w:tcW w:w="460" w:type="dxa"/>
            <w:vAlign w:val="bottom"/>
          </w:tcPr>
          <w:p>
            <w:pPr>
              <w:spacing w:after="0"/>
              <w:rPr>
                <w:sz w:val="24"/>
                <w:szCs w:val="24"/>
                <w:color w:val="auto"/>
              </w:rPr>
            </w:pPr>
          </w:p>
        </w:tc>
        <w:tc>
          <w:tcPr>
            <w:tcW w:w="2720" w:type="dxa"/>
            <w:vAlign w:val="bottom"/>
            <w:gridSpan w:val="4"/>
          </w:tcPr>
          <w:p>
            <w:pPr>
              <w:ind w:left="1040"/>
              <w:spacing w:after="0"/>
              <w:rPr>
                <w:sz w:val="20"/>
                <w:szCs w:val="20"/>
                <w:color w:val="auto"/>
              </w:rPr>
            </w:pPr>
            <w:r>
              <w:rPr>
                <w:rFonts w:ascii="Times New Roman" w:cs="Times New Roman" w:eastAsia="Times New Roman" w:hAnsi="Times New Roman"/>
                <w:sz w:val="20"/>
                <w:szCs w:val="20"/>
                <w:color w:val="auto"/>
                <w:w w:val="97"/>
              </w:rPr>
              <w:t>Monthly Installment:</w:t>
            </w: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18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9/1/20 – 12/31/20</w:t>
            </w:r>
          </w:p>
        </w:tc>
        <w:tc>
          <w:tcPr>
            <w:tcW w:w="2560" w:type="dxa"/>
            <w:vAlign w:val="bottom"/>
            <w:gridSpan w:val="3"/>
          </w:tcPr>
          <w:p>
            <w:pPr>
              <w:ind w:left="1500"/>
              <w:spacing w:after="0" w:line="228" w:lineRule="exact"/>
              <w:rPr>
                <w:sz w:val="20"/>
                <w:szCs w:val="20"/>
                <w:color w:val="auto"/>
              </w:rPr>
            </w:pPr>
            <w:r>
              <w:rPr>
                <w:rFonts w:ascii="Times New Roman" w:cs="Times New Roman" w:eastAsia="Times New Roman" w:hAnsi="Times New Roman"/>
                <w:sz w:val="20"/>
                <w:szCs w:val="20"/>
                <w:color w:val="auto"/>
              </w:rPr>
              <w:t>$0.00**</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1/1/21 – 8/31/21</w:t>
            </w:r>
          </w:p>
        </w:tc>
        <w:tc>
          <w:tcPr>
            <w:tcW w:w="2560" w:type="dxa"/>
            <w:vAlign w:val="bottom"/>
            <w:gridSpan w:val="3"/>
          </w:tcPr>
          <w:p>
            <w:pPr>
              <w:ind w:left="1500"/>
              <w:spacing w:after="0"/>
              <w:rPr>
                <w:sz w:val="20"/>
                <w:szCs w:val="20"/>
                <w:color w:val="auto"/>
              </w:rPr>
            </w:pPr>
            <w:r>
              <w:rPr>
                <w:rFonts w:ascii="Times New Roman" w:cs="Times New Roman" w:eastAsia="Times New Roman" w:hAnsi="Times New Roman"/>
                <w:sz w:val="20"/>
                <w:szCs w:val="20"/>
                <w:color w:val="auto"/>
              </w:rPr>
              <w:t>$20,930.63</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9/1/21 – 8/31/22</w:t>
            </w:r>
          </w:p>
        </w:tc>
        <w:tc>
          <w:tcPr>
            <w:tcW w:w="2560" w:type="dxa"/>
            <w:vAlign w:val="bottom"/>
            <w:gridSpan w:val="3"/>
          </w:tcPr>
          <w:p>
            <w:pPr>
              <w:ind w:left="1500"/>
              <w:spacing w:after="0"/>
              <w:rPr>
                <w:sz w:val="20"/>
                <w:szCs w:val="20"/>
                <w:color w:val="auto"/>
              </w:rPr>
            </w:pPr>
            <w:r>
              <w:rPr>
                <w:rFonts w:ascii="Times New Roman" w:cs="Times New Roman" w:eastAsia="Times New Roman" w:hAnsi="Times New Roman"/>
                <w:sz w:val="20"/>
                <w:szCs w:val="20"/>
                <w:color w:val="auto"/>
              </w:rPr>
              <w:t>$21,558.54</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9/1/22 – 8/31/23</w:t>
            </w:r>
          </w:p>
        </w:tc>
        <w:tc>
          <w:tcPr>
            <w:tcW w:w="2560" w:type="dxa"/>
            <w:vAlign w:val="bottom"/>
            <w:gridSpan w:val="3"/>
          </w:tcPr>
          <w:p>
            <w:pPr>
              <w:ind w:left="1500"/>
              <w:spacing w:after="0"/>
              <w:rPr>
                <w:sz w:val="20"/>
                <w:szCs w:val="20"/>
                <w:color w:val="auto"/>
              </w:rPr>
            </w:pPr>
            <w:r>
              <w:rPr>
                <w:rFonts w:ascii="Times New Roman" w:cs="Times New Roman" w:eastAsia="Times New Roman" w:hAnsi="Times New Roman"/>
                <w:sz w:val="20"/>
                <w:szCs w:val="20"/>
                <w:color w:val="auto"/>
              </w:rPr>
              <w:t>$22,205.30</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9/1/23 – 8/31/24</w:t>
            </w:r>
          </w:p>
        </w:tc>
        <w:tc>
          <w:tcPr>
            <w:tcW w:w="2560" w:type="dxa"/>
            <w:vAlign w:val="bottom"/>
            <w:gridSpan w:val="3"/>
          </w:tcPr>
          <w:p>
            <w:pPr>
              <w:ind w:left="1500"/>
              <w:spacing w:after="0"/>
              <w:rPr>
                <w:sz w:val="20"/>
                <w:szCs w:val="20"/>
                <w:color w:val="auto"/>
              </w:rPr>
            </w:pPr>
            <w:r>
              <w:rPr>
                <w:rFonts w:ascii="Times New Roman" w:cs="Times New Roman" w:eastAsia="Times New Roman" w:hAnsi="Times New Roman"/>
                <w:sz w:val="20"/>
                <w:szCs w:val="20"/>
                <w:color w:val="auto"/>
              </w:rPr>
              <w:t>$22,871.56</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9/1/24 – 8/31/25</w:t>
            </w:r>
          </w:p>
        </w:tc>
        <w:tc>
          <w:tcPr>
            <w:tcW w:w="2560" w:type="dxa"/>
            <w:vAlign w:val="bottom"/>
            <w:gridSpan w:val="3"/>
          </w:tcPr>
          <w:p>
            <w:pPr>
              <w:ind w:left="1500"/>
              <w:spacing w:after="0"/>
              <w:rPr>
                <w:sz w:val="20"/>
                <w:szCs w:val="20"/>
                <w:color w:val="auto"/>
              </w:rPr>
            </w:pPr>
            <w:r>
              <w:rPr>
                <w:rFonts w:ascii="Times New Roman" w:cs="Times New Roman" w:eastAsia="Times New Roman" w:hAnsi="Times New Roman"/>
                <w:sz w:val="20"/>
                <w:szCs w:val="20"/>
                <w:color w:val="auto"/>
              </w:rPr>
              <w:t>$23,557.60</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9/1/25 – 8/31/26</w:t>
            </w:r>
          </w:p>
        </w:tc>
        <w:tc>
          <w:tcPr>
            <w:tcW w:w="2560" w:type="dxa"/>
            <w:vAlign w:val="bottom"/>
            <w:gridSpan w:val="3"/>
          </w:tcPr>
          <w:p>
            <w:pPr>
              <w:ind w:left="1500"/>
              <w:spacing w:after="0"/>
              <w:rPr>
                <w:sz w:val="20"/>
                <w:szCs w:val="20"/>
                <w:color w:val="auto"/>
              </w:rPr>
            </w:pPr>
            <w:r>
              <w:rPr>
                <w:rFonts w:ascii="Times New Roman" w:cs="Times New Roman" w:eastAsia="Times New Roman" w:hAnsi="Times New Roman"/>
                <w:sz w:val="20"/>
                <w:szCs w:val="20"/>
                <w:color w:val="auto"/>
              </w:rPr>
              <w:t>$24,264.33</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8"/>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9/1/26 – 8/31/27</w:t>
            </w:r>
          </w:p>
        </w:tc>
        <w:tc>
          <w:tcPr>
            <w:tcW w:w="2560" w:type="dxa"/>
            <w:vAlign w:val="bottom"/>
            <w:gridSpan w:val="3"/>
          </w:tcPr>
          <w:p>
            <w:pPr>
              <w:ind w:left="1500"/>
              <w:spacing w:after="0"/>
              <w:rPr>
                <w:sz w:val="20"/>
                <w:szCs w:val="20"/>
                <w:color w:val="auto"/>
              </w:rPr>
            </w:pPr>
            <w:r>
              <w:rPr>
                <w:rFonts w:ascii="Times New Roman" w:cs="Times New Roman" w:eastAsia="Times New Roman" w:hAnsi="Times New Roman"/>
                <w:sz w:val="20"/>
                <w:szCs w:val="20"/>
                <w:color w:val="auto"/>
              </w:rPr>
              <w:t>$24,992.26</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18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**See Section 3.2 regarding Base Rent abatement.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SUITE 110 BASE RENT</w:t>
      </w:r>
    </w:p>
    <w:p>
      <w:pPr>
        <w:spacing w:after="0" w:line="211"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w w:val="99"/>
              </w:rPr>
              <w:t>Lease Months:</w:t>
            </w:r>
          </w:p>
        </w:tc>
        <w:tc>
          <w:tcPr>
            <w:tcW w:w="640" w:type="dxa"/>
            <w:vAlign w:val="bottom"/>
          </w:tcPr>
          <w:p>
            <w:pPr>
              <w:spacing w:after="0"/>
              <w:rPr>
                <w:sz w:val="17"/>
                <w:szCs w:val="17"/>
                <w:color w:val="auto"/>
              </w:rPr>
            </w:pPr>
          </w:p>
        </w:tc>
        <w:tc>
          <w:tcPr>
            <w:tcW w:w="2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Rate per RSF:</w:t>
            </w: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7"/>
              </w:rPr>
              <w:t>Monthly Installment:*</w:t>
            </w:r>
          </w:p>
        </w:tc>
      </w:tr>
      <w:tr>
        <w:trPr>
          <w:trHeight w:val="20"/>
        </w:trPr>
        <w:tc>
          <w:tcPr>
            <w:tcW w:w="10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21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3/1/21 – 6/30/21</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$0.00</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7/1/21 – 8/31/21</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$22.50</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$11,566.68</w:t>
            </w: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9/1/21 – 8/31/22</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$23.18</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$11,913.89</w:t>
            </w: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9/1/22 – 8/31/23</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$23.87</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$12,271.31</w:t>
            </w: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9/1/23 – 8/31/24</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$24.59</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$12,639.45</w:t>
            </w: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9/1/24 – 8/31/25</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$25.32</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$13,018.63</w:t>
            </w: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9/1/25 – 8/31/26</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$26.08</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$13,409.19</w:t>
            </w:r>
          </w:p>
        </w:tc>
      </w:tr>
      <w:tr>
        <w:trPr>
          <w:trHeight w:val="23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9/1/26 – 8/31/27</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$26.87</w:t>
            </w:r>
          </w:p>
        </w:tc>
        <w:tc>
          <w:tcPr>
            <w:tcW w:w="600" w:type="dxa"/>
            <w:vAlign w:val="bottom"/>
          </w:tcPr>
          <w:p>
            <w:pPr>
              <w:spacing w:after="0"/>
              <w:rPr>
                <w:sz w:val="20"/>
                <w:szCs w:val="20"/>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$13,811.47</w:t>
            </w:r>
          </w:p>
        </w:tc>
      </w:tr>
    </w:tbl>
    <w:p>
      <w:pPr>
        <w:spacing w:after="0" w:line="193" w:lineRule="exact"/>
        <w:rPr>
          <w:sz w:val="20"/>
          <w:szCs w:val="20"/>
          <w:color w:val="auto"/>
        </w:rPr>
      </w:pPr>
    </w:p>
    <w:p>
      <w:pPr>
        <w:jc w:val="both"/>
        <w:ind w:left="2220"/>
        <w:spacing w:after="0" w:line="254" w:lineRule="auto"/>
        <w:rPr>
          <w:sz w:val="20"/>
          <w:szCs w:val="20"/>
          <w:color w:val="auto"/>
        </w:rPr>
      </w:pPr>
      <w:r>
        <w:rPr>
          <w:rFonts w:ascii="Times New Roman" w:cs="Times New Roman" w:eastAsia="Times New Roman" w:hAnsi="Times New Roman"/>
          <w:sz w:val="20"/>
          <w:szCs w:val="20"/>
          <w:color w:val="auto"/>
        </w:rPr>
        <w:t>*The actual monthly installment amount is subject to adjustment based upon the confirmation of the actual rentable square feet in Suite 110 pursuant to Section 1.2 below. **See Section 3.2 regarding Base Rent abatement.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SUITE 120 BASE RENT</w:t>
      </w:r>
    </w:p>
    <w:p>
      <w:pPr>
        <w:spacing w:after="0" w:line="211" w:lineRule="exact"/>
        <w:rPr>
          <w:sz w:val="20"/>
          <w:szCs w:val="20"/>
          <w:color w:val="auto"/>
        </w:rPr>
      </w:pPr>
    </w:p>
    <w:tbl>
      <w:tblPr>
        <w:tblLayout w:type="fixed"/>
        <w:tblInd w:w="22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w w:val="99"/>
              </w:rPr>
              <w:t>Lease Months:</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per RSF:</w:t>
            </w: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7"/>
              </w:rPr>
              <w:t>Monthly Installment:*</w:t>
            </w:r>
          </w:p>
        </w:tc>
      </w:tr>
      <w:tr>
        <w:trPr>
          <w:trHeight w:val="20"/>
        </w:trPr>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21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5/1/21 – 8/31/21</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$0.00</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9/1/21 – 8/31/22</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$23.18</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$3,850.91</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9/1/22 – 8/31/23</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$23.87</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$3,966.44</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9/1/23 – 8/31/24</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$24.59</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$4,085.43</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9/1/24 – 8/31/25</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$25.32</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$4,208.00</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9/1/25 – 8/31/26</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$26.08</w:t>
            </w:r>
          </w:p>
        </w:tc>
        <w:tc>
          <w:tcPr>
            <w:tcW w:w="60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$4,334.24</w:t>
            </w:r>
          </w:p>
        </w:tc>
      </w:t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9/1/26 – 8/31/27</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$26.87</w:t>
            </w:r>
          </w:p>
        </w:tc>
        <w:tc>
          <w:tcPr>
            <w:tcW w:w="600" w:type="dxa"/>
            <w:vAlign w:val="bottom"/>
          </w:tcPr>
          <w:p>
            <w:pPr>
              <w:spacing w:after="0"/>
              <w:rPr>
                <w:sz w:val="20"/>
                <w:szCs w:val="20"/>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$4,464.26</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v</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49465"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05" w:name="page406"/>
    <w:bookmarkEnd w:id="405"/>
    <w:p>
      <w:pPr>
        <w:jc w:val="both"/>
        <w:ind w:left="2220"/>
        <w:spacing w:after="0" w:line="254" w:lineRule="auto"/>
        <w:rPr>
          <w:sz w:val="20"/>
          <w:szCs w:val="20"/>
          <w:color w:val="auto"/>
        </w:rPr>
      </w:pPr>
      <w:r>
        <w:rPr>
          <w:rFonts w:ascii="Times New Roman" w:cs="Times New Roman" w:eastAsia="Times New Roman" w:hAnsi="Times New Roman"/>
          <w:sz w:val="20"/>
          <w:szCs w:val="20"/>
          <w:color w:val="auto"/>
        </w:rPr>
        <w:t>*The actual monthly installment amount is subject to adjustment based upon the confirmation of the actual rentable square feet in Suite 110 pursuant to Section 1.2 below. **See Section 3.2 regarding Base Rent abatement.</w:t>
      </w:r>
    </w:p>
    <w:p>
      <w:pPr>
        <w:spacing w:after="0" w:line="200" w:lineRule="exact"/>
        <w:rPr>
          <w:sz w:val="20"/>
          <w:szCs w:val="20"/>
          <w:color w:val="auto"/>
        </w:rPr>
      </w:pPr>
    </w:p>
    <w:p>
      <w:pPr>
        <w:spacing w:after="0" w:line="217" w:lineRule="exact"/>
        <w:rPr>
          <w:sz w:val="20"/>
          <w:szCs w:val="20"/>
          <w:color w:val="auto"/>
        </w:rPr>
      </w:pPr>
    </w:p>
    <w:p>
      <w:pPr>
        <w:ind w:left="660" w:right="9420" w:hanging="652"/>
        <w:spacing w:after="0" w:line="295" w:lineRule="auto"/>
        <w:tabs>
          <w:tab w:leader="none" w:pos="651"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Tenant’s Share (Article 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 From 9/1/20 through 3/1/21, while the Premises consists of only</w:t>
            </w:r>
          </w:p>
        </w:tc>
      </w:tr>
      <w:tr>
        <w:trPr>
          <w:trHeight w:val="230"/>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Suite 104, Tenant’s Share will be 5.44% of the Project (based on the</w:t>
            </w:r>
          </w:p>
        </w:tc>
      </w:tr>
      <w:tr>
        <w:trPr>
          <w:trHeight w:val="229"/>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Project rentable square footage of 205,298) and 57.76% of the</w:t>
            </w:r>
          </w:p>
        </w:tc>
      </w:tr>
      <w:tr>
        <w:trPr>
          <w:trHeight w:val="258"/>
        </w:trPr>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Building (based on the Building rentable square footage of 19,326).</w:t>
            </w:r>
          </w:p>
        </w:tc>
      </w:tr>
      <w:tr>
        <w:trPr>
          <w:trHeight w:val="417"/>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(b) From 3/1/21 through 5/1/21, while the Premises consists of only</w:t>
            </w:r>
          </w:p>
        </w:tc>
      </w:tr>
      <w:tr>
        <w:trPr>
          <w:trHeight w:val="229"/>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w w:val="98"/>
              </w:rPr>
              <w:t>Suites 104 and 110, Tenant’s Share will be 8.44% of the Project (based</w:t>
            </w:r>
          </w:p>
        </w:tc>
      </w:tr>
      <w:tr>
        <w:trPr>
          <w:trHeight w:val="230"/>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on the Project rentable square footage of 205,298) and 89.68% of the</w:t>
            </w:r>
          </w:p>
        </w:tc>
      </w:tr>
      <w:tr>
        <w:trPr>
          <w:trHeight w:val="258"/>
        </w:trPr>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Building (based on the Building rentable square footage of 19,326).*</w:t>
            </w:r>
          </w:p>
        </w:tc>
      </w:tr>
      <w:tr>
        <w:trPr>
          <w:trHeight w:val="417"/>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(c) From 5/1/21 through the expiration of the Lease Term, while</w:t>
            </w:r>
          </w:p>
        </w:tc>
      </w:tr>
      <w:tr>
        <w:trPr>
          <w:trHeight w:val="229"/>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w w:val="99"/>
              </w:rPr>
              <w:t>Tenant is leasing the entire Premises, Tenant’s Share will be 9.41% of</w:t>
            </w:r>
          </w:p>
        </w:tc>
      </w:tr>
      <w:tr>
        <w:trPr>
          <w:trHeight w:val="229"/>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the Project (based on the Project rentable square footage of 205,298)</w:t>
            </w:r>
          </w:p>
        </w:tc>
      </w:tr>
      <w:tr>
        <w:trPr>
          <w:trHeight w:val="230"/>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and 100% of the Building (based on the Building rentable square</w:t>
            </w:r>
          </w:p>
        </w:tc>
      </w:tr>
      <w:tr>
        <w:trPr>
          <w:trHeight w:val="258"/>
        </w:trPr>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footage of 19,326).*</w:t>
            </w:r>
          </w:p>
        </w:tc>
      </w:tr>
      <w:tr>
        <w:trPr>
          <w:trHeight w:val="417"/>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*Tenant’s Share from 3/1/21 and from 5/1/21 is subject to change</w:t>
            </w:r>
          </w:p>
        </w:tc>
      </w:tr>
      <w:tr>
        <w:trPr>
          <w:trHeight w:val="229"/>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w w:val="99"/>
              </w:rPr>
              <w:t>pending confirmation of the rentable square feet of Suites 110 and 120</w:t>
            </w:r>
          </w:p>
        </w:tc>
      </w:tr>
      <w:tr>
        <w:trPr>
          <w:trHeight w:val="229"/>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pursuant  to  Section  1.2  below  as  of  their  respective  Lease</w:t>
            </w:r>
          </w:p>
        </w:tc>
      </w:tr>
      <w:tr>
        <w:trPr>
          <w:trHeight w:val="258"/>
        </w:trPr>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Commencement Dates.</w:t>
            </w:r>
          </w:p>
        </w:tc>
      </w:tr>
      <w:tr>
        <w:trPr>
          <w:trHeight w:val="417"/>
        </w:trPr>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6.</w:t>
            </w:r>
          </w:p>
        </w:tc>
        <w:tc>
          <w:tcPr>
            <w:tcW w:w="402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Permitted Use</w:t>
            </w: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Tenant shall use the Premises solely for general office, laboratory,</w:t>
            </w:r>
          </w:p>
        </w:tc>
      </w:tr>
      <w:tr>
        <w:trPr>
          <w:trHeight w:val="212"/>
        </w:trPr>
        <w:tc>
          <w:tcPr>
            <w:tcW w:w="400" w:type="dxa"/>
            <w:vAlign w:val="bottom"/>
          </w:tcPr>
          <w:p>
            <w:pPr>
              <w:spacing w:after="0"/>
              <w:rPr>
                <w:sz w:val="18"/>
                <w:szCs w:val="18"/>
                <w:color w:val="auto"/>
              </w:rPr>
            </w:pPr>
          </w:p>
        </w:tc>
        <w:tc>
          <w:tcPr>
            <w:tcW w:w="4020" w:type="dxa"/>
            <w:vAlign w:val="bottom"/>
            <w:gridSpan w:val="4"/>
          </w:tcPr>
          <w:p>
            <w:pPr>
              <w:ind w:left="260"/>
              <w:spacing w:after="0" w:line="212" w:lineRule="exact"/>
              <w:rPr>
                <w:sz w:val="20"/>
                <w:szCs w:val="20"/>
                <w:color w:val="auto"/>
              </w:rPr>
            </w:pPr>
            <w:r>
              <w:rPr>
                <w:rFonts w:ascii="Times New Roman" w:cs="Times New Roman" w:eastAsia="Times New Roman" w:hAnsi="Times New Roman"/>
                <w:sz w:val="20"/>
                <w:szCs w:val="20"/>
                <w:color w:val="auto"/>
              </w:rPr>
              <w:t>(Article 5):</w:t>
            </w:r>
          </w:p>
        </w:tc>
        <w:tc>
          <w:tcPr>
            <w:tcW w:w="6820" w:type="dxa"/>
            <w:vAlign w:val="bottom"/>
          </w:tcPr>
          <w:p>
            <w:pPr>
              <w:ind w:left="1200"/>
              <w:spacing w:after="0" w:line="212" w:lineRule="exact"/>
              <w:rPr>
                <w:sz w:val="20"/>
                <w:szCs w:val="20"/>
                <w:color w:val="auto"/>
              </w:rPr>
            </w:pPr>
            <w:r>
              <w:rPr>
                <w:rFonts w:ascii="Times New Roman" w:cs="Times New Roman" w:eastAsia="Times New Roman" w:hAnsi="Times New Roman"/>
                <w:sz w:val="20"/>
                <w:szCs w:val="20"/>
                <w:color w:val="auto"/>
              </w:rPr>
              <w:t>research and development, and warehouse use and uses incidental</w:t>
            </w:r>
          </w:p>
        </w:tc>
      </w:tr>
      <w:tr>
        <w:trPr>
          <w:trHeight w:val="227"/>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line="228" w:lineRule="exact"/>
              <w:rPr>
                <w:sz w:val="20"/>
                <w:szCs w:val="20"/>
                <w:color w:val="auto"/>
              </w:rPr>
            </w:pPr>
            <w:r>
              <w:rPr>
                <w:rFonts w:ascii="Times New Roman" w:cs="Times New Roman" w:eastAsia="Times New Roman" w:hAnsi="Times New Roman"/>
                <w:sz w:val="20"/>
                <w:szCs w:val="20"/>
                <w:color w:val="auto"/>
              </w:rPr>
              <w:t>thereto to the extent the same comply with Applicable Requirements</w:t>
            </w:r>
          </w:p>
        </w:tc>
      </w:tr>
      <w:tr>
        <w:trPr>
          <w:trHeight w:val="230"/>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w w:val="99"/>
              </w:rPr>
              <w:t>(as defined in Section 1.4 below) and are consistent with the character</w:t>
            </w:r>
          </w:p>
        </w:tc>
      </w:tr>
      <w:tr>
        <w:trPr>
          <w:trHeight w:val="258"/>
        </w:trPr>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of the Project.</w:t>
            </w:r>
          </w:p>
        </w:tc>
      </w:tr>
      <w:tr>
        <w:trPr>
          <w:trHeight w:val="417"/>
        </w:trPr>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3"/>
              </w:rPr>
              <w:t>7.</w:t>
            </w:r>
          </w:p>
        </w:tc>
        <w:tc>
          <w:tcPr>
            <w:tcW w:w="402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Security Deposit; Advance Rent</w:t>
            </w: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$81,910.05, of which $26,940.05 shall be credited to Base Rent and</w:t>
            </w:r>
          </w:p>
        </w:tc>
      </w:tr>
      <w:tr>
        <w:trPr>
          <w:trHeight w:val="212"/>
        </w:trPr>
        <w:tc>
          <w:tcPr>
            <w:tcW w:w="400" w:type="dxa"/>
            <w:vAlign w:val="bottom"/>
          </w:tcPr>
          <w:p>
            <w:pPr>
              <w:spacing w:after="0"/>
              <w:rPr>
                <w:sz w:val="18"/>
                <w:szCs w:val="18"/>
                <w:color w:val="auto"/>
              </w:rPr>
            </w:pPr>
          </w:p>
        </w:tc>
        <w:tc>
          <w:tcPr>
            <w:tcW w:w="4020" w:type="dxa"/>
            <w:vAlign w:val="bottom"/>
            <w:gridSpan w:val="4"/>
          </w:tcPr>
          <w:p>
            <w:pPr>
              <w:ind w:left="260"/>
              <w:spacing w:after="0" w:line="212" w:lineRule="exact"/>
              <w:rPr>
                <w:sz w:val="20"/>
                <w:szCs w:val="20"/>
                <w:color w:val="auto"/>
              </w:rPr>
            </w:pPr>
            <w:r>
              <w:rPr>
                <w:rFonts w:ascii="Times New Roman" w:cs="Times New Roman" w:eastAsia="Times New Roman" w:hAnsi="Times New Roman"/>
                <w:sz w:val="20"/>
                <w:szCs w:val="20"/>
                <w:color w:val="auto"/>
              </w:rPr>
              <w:t>(Article 21):</w:t>
            </w:r>
          </w:p>
        </w:tc>
        <w:tc>
          <w:tcPr>
            <w:tcW w:w="6820" w:type="dxa"/>
            <w:vAlign w:val="bottom"/>
          </w:tcPr>
          <w:p>
            <w:pPr>
              <w:ind w:left="1200"/>
              <w:spacing w:after="0" w:line="212" w:lineRule="exact"/>
              <w:rPr>
                <w:sz w:val="20"/>
                <w:szCs w:val="20"/>
                <w:color w:val="auto"/>
              </w:rPr>
            </w:pPr>
            <w:r>
              <w:rPr>
                <w:rFonts w:ascii="Times New Roman" w:cs="Times New Roman" w:eastAsia="Times New Roman" w:hAnsi="Times New Roman"/>
                <w:sz w:val="20"/>
                <w:szCs w:val="20"/>
                <w:color w:val="auto"/>
              </w:rPr>
              <w:t>Operating Expenses for Month 5 of the Lease Term, and the balance</w:t>
            </w:r>
          </w:p>
        </w:tc>
      </w:tr>
      <w:tr>
        <w:trPr>
          <w:trHeight w:val="256"/>
        </w:trPr>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68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of which ($54,970) shall be held as a Security Deposit.</w:t>
            </w: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vi</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4946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518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Parking</w:t>
            </w: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Right to non-exclusive parking spaces equal to 3.18 per 1,000 square</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5180" w:type="dxa"/>
            <w:vAlign w:val="bottom"/>
            <w:gridSpan w:val="4"/>
          </w:tcPr>
          <w:p>
            <w:pPr>
              <w:ind w:left="220"/>
              <w:spacing w:after="0" w:line="212" w:lineRule="exact"/>
              <w:rPr>
                <w:sz w:val="20"/>
                <w:szCs w:val="20"/>
                <w:color w:val="auto"/>
              </w:rPr>
            </w:pPr>
            <w:r>
              <w:rPr>
                <w:rFonts w:ascii="Times New Roman" w:cs="Times New Roman" w:eastAsia="Times New Roman" w:hAnsi="Times New Roman"/>
                <w:sz w:val="20"/>
                <w:szCs w:val="20"/>
                <w:color w:val="auto"/>
              </w:rPr>
              <w:t>(Article 28):</w:t>
            </w:r>
          </w:p>
        </w:tc>
        <w:tc>
          <w:tcPr>
            <w:tcW w:w="56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foot of rentable area in the Premises at no additional charge. All</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6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w w:val="98"/>
              </w:rPr>
              <w:t>parking is non-exclusive, and on a first come, first served basis, except</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that Tenant shall, beginning on the Commencement Date applicable to</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each portion of the Premises, have exclusive use of the parking spaces</w:t>
            </w:r>
          </w:p>
        </w:tc>
        <w:tc>
          <w:tcPr>
            <w:tcW w:w="0" w:type="dxa"/>
            <w:vAlign w:val="bottom"/>
          </w:tcPr>
          <w:p>
            <w:pPr>
              <w:spacing w:after="0"/>
              <w:rPr>
                <w:sz w:val="1"/>
                <w:szCs w:val="1"/>
                <w:color w:val="auto"/>
              </w:rPr>
            </w:pPr>
          </w:p>
        </w:tc>
      </w:tr>
      <w:tr>
        <w:trPr>
          <w:trHeight w:val="225"/>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620" w:type="dxa"/>
            <w:vAlign w:val="bottom"/>
            <w:gridSpan w:val="3"/>
          </w:tcPr>
          <w:p>
            <w:pPr>
              <w:spacing w:after="0" w:line="226" w:lineRule="exact"/>
              <w:rPr>
                <w:sz w:val="20"/>
                <w:szCs w:val="20"/>
                <w:color w:val="auto"/>
              </w:rPr>
            </w:pPr>
            <w:r>
              <w:rPr>
                <w:rFonts w:ascii="Times New Roman" w:cs="Times New Roman" w:eastAsia="Times New Roman" w:hAnsi="Times New Roman"/>
                <w:sz w:val="20"/>
                <w:szCs w:val="20"/>
                <w:color w:val="auto"/>
              </w:rPr>
              <w:t>allocated to such portion of the Premises located in the back of the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62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 xml:space="preserve">Building at the loading dock in the location shown on </w:t>
            </w:r>
            <w:r>
              <w:rPr>
                <w:rFonts w:ascii="Times New Roman" w:cs="Times New Roman" w:eastAsia="Times New Roman" w:hAnsi="Times New Roman"/>
                <w:sz w:val="20"/>
                <w:szCs w:val="20"/>
                <w:b w:val="1"/>
                <w:bCs w:val="1"/>
                <w:color w:val="auto"/>
              </w:rPr>
              <w:t>Exhibit A-</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70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 xml:space="preserve">2 </w:t>
            </w:r>
            <w:r>
              <w:rPr>
                <w:rFonts w:ascii="Times New Roman" w:cs="Times New Roman" w:eastAsia="Times New Roman" w:hAnsi="Times New Roman"/>
                <w:sz w:val="20"/>
                <w:szCs w:val="20"/>
                <w:color w:val="auto"/>
              </w:rPr>
              <w:t>attached hereto.</w:t>
            </w: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5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Address of Tenant</w:t>
            </w: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Athira Pharma</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5180" w:type="dxa"/>
            <w:vAlign w:val="bottom"/>
            <w:gridSpan w:val="4"/>
          </w:tcPr>
          <w:p>
            <w:pPr>
              <w:ind w:left="220"/>
              <w:spacing w:after="0" w:line="212" w:lineRule="exact"/>
              <w:rPr>
                <w:sz w:val="20"/>
                <w:szCs w:val="20"/>
                <w:color w:val="auto"/>
              </w:rPr>
            </w:pPr>
            <w:r>
              <w:rPr>
                <w:rFonts w:ascii="Times New Roman" w:cs="Times New Roman" w:eastAsia="Times New Roman" w:hAnsi="Times New Roman"/>
                <w:sz w:val="20"/>
                <w:szCs w:val="20"/>
                <w:color w:val="auto"/>
              </w:rPr>
              <w:t>(Section 29.11):</w:t>
            </w:r>
          </w:p>
        </w:tc>
        <w:tc>
          <w:tcPr>
            <w:tcW w:w="56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4000 Mason Road</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20" w:type="dxa"/>
            <w:vAlign w:val="bottom"/>
          </w:tcPr>
          <w:p>
            <w:pPr>
              <w:spacing w:after="0"/>
              <w:rPr>
                <w:sz w:val="19"/>
                <w:szCs w:val="19"/>
                <w:color w:val="auto"/>
              </w:rPr>
            </w:pPr>
          </w:p>
        </w:tc>
        <w:tc>
          <w:tcPr>
            <w:tcW w:w="56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Suite 300, Box 352141</w:t>
            </w: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Seattle, WA 98195-2141</w:t>
            </w: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(Prior to Lease Commencement Date)</w:t>
            </w: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And</w:t>
            </w:r>
          </w:p>
        </w:tc>
        <w:tc>
          <w:tcPr>
            <w:tcW w:w="0" w:type="dxa"/>
            <w:vAlign w:val="bottom"/>
          </w:tcPr>
          <w:p>
            <w:pPr>
              <w:spacing w:after="0"/>
              <w:rPr>
                <w:sz w:val="1"/>
                <w:szCs w:val="1"/>
                <w:color w:val="auto"/>
              </w:rPr>
            </w:pPr>
          </w:p>
        </w:tc>
      </w:tr>
      <w:tr>
        <w:trPr>
          <w:trHeight w:val="417"/>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At the Premises.</w:t>
            </w: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(After Lease Commencement Date)</w:t>
            </w:r>
          </w:p>
        </w:tc>
        <w:tc>
          <w:tcPr>
            <w:tcW w:w="0" w:type="dxa"/>
            <w:vAlign w:val="bottom"/>
          </w:tcPr>
          <w:p>
            <w:pPr>
              <w:spacing w:after="0"/>
              <w:rPr>
                <w:sz w:val="1"/>
                <w:szCs w:val="1"/>
                <w:color w:val="auto"/>
              </w:rPr>
            </w:pPr>
          </w:p>
        </w:tc>
      </w:tr>
      <w:tr>
        <w:trPr>
          <w:trHeight w:val="417"/>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280" w:type="dxa"/>
            <w:vAlign w:val="bottom"/>
          </w:tcPr>
          <w:p>
            <w:pPr>
              <w:spacing w:after="0"/>
              <w:rPr>
                <w:sz w:val="24"/>
                <w:szCs w:val="24"/>
                <w:color w:val="auto"/>
              </w:rPr>
            </w:pPr>
          </w:p>
        </w:tc>
        <w:tc>
          <w:tcPr>
            <w:tcW w:w="49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Address of Landlord</w:t>
            </w: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North Creek Parkway Center Investors, LP</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5180" w:type="dxa"/>
            <w:vAlign w:val="bottom"/>
            <w:gridSpan w:val="4"/>
          </w:tcPr>
          <w:p>
            <w:pPr>
              <w:ind w:left="220"/>
              <w:spacing w:after="0" w:line="212" w:lineRule="exact"/>
              <w:rPr>
                <w:sz w:val="20"/>
                <w:szCs w:val="20"/>
                <w:color w:val="auto"/>
              </w:rPr>
            </w:pPr>
            <w:r>
              <w:rPr>
                <w:rFonts w:ascii="Times New Roman" w:cs="Times New Roman" w:eastAsia="Times New Roman" w:hAnsi="Times New Roman"/>
                <w:sz w:val="20"/>
                <w:szCs w:val="20"/>
                <w:color w:val="auto"/>
              </w:rPr>
              <w:t>(Section 29.11):</w:t>
            </w:r>
          </w:p>
        </w:tc>
        <w:tc>
          <w:tcPr>
            <w:tcW w:w="56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 Peregrine Realty Partners, Inc.</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20" w:type="dxa"/>
            <w:vAlign w:val="bottom"/>
          </w:tcPr>
          <w:p>
            <w:pPr>
              <w:spacing w:after="0"/>
              <w:rPr>
                <w:sz w:val="19"/>
                <w:szCs w:val="19"/>
                <w:color w:val="auto"/>
              </w:rPr>
            </w:pPr>
          </w:p>
        </w:tc>
        <w:tc>
          <w:tcPr>
            <w:tcW w:w="56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1201 Dove Street, Suite 650</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Newport Beach, CA 92660</w:t>
            </w: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Attention: Asset Manager</w:t>
            </w:r>
          </w:p>
        </w:tc>
        <w:tc>
          <w:tcPr>
            <w:tcW w:w="0" w:type="dxa"/>
            <w:vAlign w:val="bottom"/>
          </w:tcPr>
          <w:p>
            <w:pPr>
              <w:spacing w:after="0"/>
              <w:rPr>
                <w:sz w:val="1"/>
                <w:szCs w:val="1"/>
                <w:color w:val="auto"/>
              </w:rPr>
            </w:pPr>
          </w:p>
        </w:tc>
      </w:tr>
      <w:tr>
        <w:trPr>
          <w:trHeight w:val="417"/>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280" w:type="dxa"/>
            <w:vAlign w:val="bottom"/>
          </w:tcPr>
          <w:p>
            <w:pPr>
              <w:spacing w:after="0"/>
              <w:rPr>
                <w:sz w:val="24"/>
                <w:szCs w:val="24"/>
                <w:color w:val="auto"/>
              </w:rPr>
            </w:pPr>
          </w:p>
        </w:tc>
        <w:tc>
          <w:tcPr>
            <w:tcW w:w="49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Broker(s)</w:t>
            </w: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Newmark Knight Frank (Landlord)</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5180" w:type="dxa"/>
            <w:vAlign w:val="bottom"/>
            <w:gridSpan w:val="4"/>
          </w:tcPr>
          <w:p>
            <w:pPr>
              <w:ind w:left="220"/>
              <w:spacing w:after="0" w:line="212" w:lineRule="exact"/>
              <w:rPr>
                <w:sz w:val="20"/>
                <w:szCs w:val="20"/>
                <w:color w:val="auto"/>
              </w:rPr>
            </w:pPr>
            <w:r>
              <w:rPr>
                <w:rFonts w:ascii="Times New Roman" w:cs="Times New Roman" w:eastAsia="Times New Roman" w:hAnsi="Times New Roman"/>
                <w:sz w:val="20"/>
                <w:szCs w:val="20"/>
                <w:color w:val="auto"/>
              </w:rPr>
              <w:t>(Section 29.14):</w:t>
            </w:r>
          </w:p>
        </w:tc>
        <w:tc>
          <w:tcPr>
            <w:tcW w:w="56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Flinn Ferguson (Tenant)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280" w:type="dxa"/>
            <w:vAlign w:val="bottom"/>
          </w:tcPr>
          <w:p>
            <w:pPr>
              <w:spacing w:after="0"/>
              <w:rPr>
                <w:sz w:val="24"/>
                <w:szCs w:val="24"/>
                <w:color w:val="auto"/>
              </w:rPr>
            </w:pPr>
          </w:p>
        </w:tc>
        <w:tc>
          <w:tcPr>
            <w:tcW w:w="49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Tenant Improvement Allowance</w:t>
            </w: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$35.00 per rentable square foot of the Premises (and allocated among</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518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(Tenant Work Letter)</w:t>
            </w: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Suite 104, Suite 110, and Suite 120 based upon the rentable square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footage of each Suite), to be used pursuant to the Tenant Work Letter</w:t>
            </w:r>
          </w:p>
        </w:tc>
        <w:tc>
          <w:tcPr>
            <w:tcW w:w="0" w:type="dxa"/>
            <w:vAlign w:val="bottom"/>
          </w:tcPr>
          <w:p>
            <w:pPr>
              <w:spacing w:after="0"/>
              <w:rPr>
                <w:sz w:val="1"/>
                <w:szCs w:val="1"/>
                <w:color w:val="auto"/>
              </w:rPr>
            </w:pPr>
          </w:p>
        </w:tc>
      </w:tr>
      <w:tr>
        <w:trPr>
          <w:trHeight w:val="258"/>
        </w:trPr>
        <w:tc>
          <w:tcPr>
            <w:tcW w:w="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13.</w:t>
            </w:r>
          </w:p>
        </w:tc>
        <w:tc>
          <w:tcPr>
            <w:tcW w:w="280" w:type="dxa"/>
            <w:vAlign w:val="bottom"/>
          </w:tcPr>
          <w:p>
            <w:pPr>
              <w:spacing w:after="0"/>
              <w:rPr>
                <w:sz w:val="22"/>
                <w:szCs w:val="22"/>
                <w:color w:val="auto"/>
              </w:rPr>
            </w:pPr>
          </w:p>
        </w:tc>
        <w:tc>
          <w:tcPr>
            <w:tcW w:w="4900" w:type="dxa"/>
            <w:vAlign w:val="bottom"/>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Guarantor(s)</w:t>
            </w:r>
          </w:p>
        </w:tc>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 defined in Section 1.4 below)</w:t>
            </w:r>
          </w:p>
        </w:tc>
        <w:tc>
          <w:tcPr>
            <w:tcW w:w="0" w:type="dxa"/>
            <w:vAlign w:val="bottom"/>
          </w:tcPr>
          <w:p>
            <w:pPr>
              <w:spacing w:after="0"/>
              <w:rPr>
                <w:sz w:val="1"/>
                <w:szCs w:val="1"/>
                <w:color w:val="auto"/>
              </w:rPr>
            </w:pPr>
          </w:p>
        </w:tc>
      </w:tr>
      <w:tr>
        <w:trPr>
          <w:trHeight w:val="201"/>
        </w:trPr>
        <w:tc>
          <w:tcPr>
            <w:tcW w:w="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900" w:type="dxa"/>
            <w:vAlign w:val="bottom"/>
            <w:gridSpan w:val="3"/>
            <w:vMerge w:val="continue"/>
          </w:tcPr>
          <w:p>
            <w:pPr>
              <w:spacing w:after="0"/>
              <w:rPr>
                <w:sz w:val="17"/>
                <w:szCs w:val="17"/>
                <w:color w:val="auto"/>
              </w:rPr>
            </w:pPr>
          </w:p>
        </w:tc>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518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(Section 29.33)</w:t>
            </w:r>
          </w:p>
        </w:tc>
        <w:tc>
          <w:tcPr>
            <w:tcW w:w="562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foregoing represents a summary of the basic terms and definitions of this Lease. In the event of any conflict between the terms contained in this Summary and any other specific provision of this Lease, the terms of the more specific provision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vii</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49465"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07" w:name="page408"/>
    <w:bookmarkEnd w:id="407"/>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PREMISES, BUILDING, PROJECT, AND COMMON AREAS</w:t>
      </w:r>
    </w:p>
    <w:p>
      <w:pPr>
        <w:spacing w:after="0" w:line="190" w:lineRule="exact"/>
        <w:rPr>
          <w:sz w:val="20"/>
          <w:szCs w:val="20"/>
          <w:color w:val="auto"/>
        </w:rPr>
      </w:pPr>
    </w:p>
    <w:p>
      <w:pPr>
        <w:ind w:left="84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u w:val="single" w:color="auto"/>
          <w:color w:val="auto"/>
        </w:rPr>
        <w:t>Premises, Building, Project and Common Areas.</w:t>
      </w:r>
    </w:p>
    <w:p>
      <w:pPr>
        <w:spacing w:after="0" w:line="216" w:lineRule="exact"/>
        <w:rPr>
          <w:sz w:val="20"/>
          <w:szCs w:val="20"/>
          <w:color w:val="auto"/>
        </w:rPr>
      </w:pPr>
    </w:p>
    <w:p>
      <w:pPr>
        <w:jc w:val="both"/>
        <w:ind w:firstLine="1663"/>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1.1.1. </w:t>
      </w:r>
      <w:r>
        <w:rPr>
          <w:rFonts w:ascii="Times New Roman" w:cs="Times New Roman" w:eastAsia="Times New Roman" w:hAnsi="Times New Roman"/>
          <w:sz w:val="20"/>
          <w:szCs w:val="20"/>
          <w:b w:val="1"/>
          <w:bCs w:val="1"/>
          <w:u w:val="single" w:color="auto"/>
          <w:color w:val="auto"/>
        </w:rPr>
        <w:t>The Premises</w:t>
      </w:r>
      <w:r>
        <w:rPr>
          <w:rFonts w:ascii="Times New Roman" w:cs="Times New Roman" w:eastAsia="Times New Roman" w:hAnsi="Times New Roman"/>
          <w:sz w:val="20"/>
          <w:szCs w:val="20"/>
          <w:color w:val="auto"/>
        </w:rPr>
        <w:t>. Landlord hereby leases to Tenant and Tenant hereby leases from Landlord the premises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xml:space="preserve">”). The outline of the Premises is set forth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attached hereto and each floor or floors of the Premises has the number of rentable square feet as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of the Summary. The parties hereto agree that the lease of the Premises is upon and subject to the terms, covenants and conditions set forth in this Lease (the “</w:t>
      </w:r>
      <w:r>
        <w:rPr>
          <w:rFonts w:ascii="Times New Roman" w:cs="Times New Roman" w:eastAsia="Times New Roman" w:hAnsi="Times New Roman"/>
          <w:sz w:val="20"/>
          <w:szCs w:val="20"/>
          <w:b w:val="1"/>
          <w:bCs w:val="1"/>
          <w:color w:val="auto"/>
        </w:rPr>
        <w:t>TCCs</w:t>
      </w:r>
      <w:r>
        <w:rPr>
          <w:rFonts w:ascii="Times New Roman" w:cs="Times New Roman" w:eastAsia="Times New Roman" w:hAnsi="Times New Roman"/>
          <w:sz w:val="20"/>
          <w:szCs w:val="20"/>
          <w:color w:val="auto"/>
        </w:rPr>
        <w:t xml:space="preserve">”), and Tenant covenants as a material part of the consideration for this Lease to keep and perform each and all of such TCCs by it to be kept and performed and that this Lease is made upon the condition of such performance. The parties hereto hereby acknowledge that the purpose of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is to show the approximate location of the Premises in the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 xml:space="preserve">”, as that term is defined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below, only, and such exhibit is not meant to constitute an agreement, representation or warranty as to the construction of the Premises, the precise area thereof or the specific location of the “</w:t>
      </w:r>
      <w:r>
        <w:rPr>
          <w:rFonts w:ascii="Times New Roman" w:cs="Times New Roman" w:eastAsia="Times New Roman" w:hAnsi="Times New Roman"/>
          <w:sz w:val="20"/>
          <w:szCs w:val="20"/>
          <w:b w:val="1"/>
          <w:bCs w:val="1"/>
          <w:color w:val="auto"/>
        </w:rPr>
        <w:t>Common Areas</w:t>
      </w:r>
      <w:r>
        <w:rPr>
          <w:rFonts w:ascii="Times New Roman" w:cs="Times New Roman" w:eastAsia="Times New Roman" w:hAnsi="Times New Roman"/>
          <w:sz w:val="20"/>
          <w:szCs w:val="20"/>
          <w:color w:val="auto"/>
        </w:rPr>
        <w:t xml:space="preserve">”, as that term is defined in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below, or the elements thereof or of the accessways to the Premises or the “</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 xml:space="preserve">” as that term is defined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below. Subject to Landlord’s Rules and Regulations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below) and access control procedures, Tenant shall have the right of access to the Premises twenty-four (24) hours per day, seven (7) days per week during the “Lease Term,” as that term is defined in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2 of this Lease.</w:t>
      </w:r>
    </w:p>
    <w:p>
      <w:pPr>
        <w:spacing w:after="0" w:line="187" w:lineRule="exact"/>
        <w:rPr>
          <w:sz w:val="20"/>
          <w:szCs w:val="20"/>
          <w:color w:val="auto"/>
        </w:rPr>
      </w:pPr>
    </w:p>
    <w:p>
      <w:pPr>
        <w:jc w:val="both"/>
        <w:ind w:firstLine="1663"/>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1.1.2. </w:t>
      </w:r>
      <w:r>
        <w:rPr>
          <w:rFonts w:ascii="Times New Roman" w:cs="Times New Roman" w:eastAsia="Times New Roman" w:hAnsi="Times New Roman"/>
          <w:sz w:val="20"/>
          <w:szCs w:val="20"/>
          <w:b w:val="1"/>
          <w:bCs w:val="1"/>
          <w:u w:val="single" w:color="auto"/>
          <w:color w:val="auto"/>
        </w:rPr>
        <w:t>The Building and The Project</w:t>
      </w:r>
      <w:r>
        <w:rPr>
          <w:rFonts w:ascii="Times New Roman" w:cs="Times New Roman" w:eastAsia="Times New Roman" w:hAnsi="Times New Roman"/>
          <w:sz w:val="20"/>
          <w:szCs w:val="20"/>
          <w:color w:val="auto"/>
        </w:rPr>
        <w:t>. The Premises are a part of the building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Summary (the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 xml:space="preserve">”). The Building is part of a project known by the name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of the Summary (if any). The term “</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 as used in this Lease, shall mean (i) the Building and the Common Areas, (ii) the land (which is improved with landscaping, parking facilities and other improvements) upon which the Building and the Common Areas are located, and (iii) any buildings or other improvements currently existing thereon or subsequently added thereon.</w:t>
      </w:r>
    </w:p>
    <w:p>
      <w:pPr>
        <w:spacing w:after="0" w:line="180" w:lineRule="exact"/>
        <w:rPr>
          <w:sz w:val="20"/>
          <w:szCs w:val="20"/>
          <w:color w:val="auto"/>
        </w:rPr>
      </w:pPr>
    </w:p>
    <w:p>
      <w:pPr>
        <w:jc w:val="both"/>
        <w:ind w:firstLine="1663"/>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1.1.3. </w:t>
      </w:r>
      <w:r>
        <w:rPr>
          <w:rFonts w:ascii="Times New Roman" w:cs="Times New Roman" w:eastAsia="Times New Roman" w:hAnsi="Times New Roman"/>
          <w:sz w:val="20"/>
          <w:szCs w:val="20"/>
          <w:b w:val="1"/>
          <w:bCs w:val="1"/>
          <w:u w:val="single" w:color="auto"/>
          <w:color w:val="auto"/>
        </w:rPr>
        <w:t>Common Areas</w:t>
      </w:r>
      <w:r>
        <w:rPr>
          <w:rFonts w:ascii="Times New Roman" w:cs="Times New Roman" w:eastAsia="Times New Roman" w:hAnsi="Times New Roman"/>
          <w:sz w:val="20"/>
          <w:szCs w:val="20"/>
          <w:color w:val="auto"/>
        </w:rPr>
        <w:t>. Tenant shall have the non-exclusive right to use in common with other tenants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Project, and subject to the Rules and Regulations referred to in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of this Lease, those portions of the Project which are provided, from time to time, for use in common by Landlord, Tenant and any other tenants of the Project, and their respective employees, suppliers, customers and invitees, including, but not limited to, common entrances, lobbies, corridors, stairwells, public restrooms, elevators, parking areas (except for parking areas expressly identified for Tenant’s exclusive use as provided in this Lease), loading and unloading areas, roadways and sidewalks (such areas, together with such other portions of the Project designated by Landlord, in its discretion, including certain areas designated for the exclusive use of certain tenants, or to be shared by Landlord and certain tenants, are collectively referred to herein as the “</w:t>
      </w:r>
      <w:r>
        <w:rPr>
          <w:rFonts w:ascii="Times New Roman" w:cs="Times New Roman" w:eastAsia="Times New Roman" w:hAnsi="Times New Roman"/>
          <w:sz w:val="20"/>
          <w:szCs w:val="20"/>
          <w:b w:val="1"/>
          <w:bCs w:val="1"/>
          <w:color w:val="auto"/>
        </w:rPr>
        <w:t>Common Areas</w:t>
      </w:r>
      <w:r>
        <w:rPr>
          <w:rFonts w:ascii="Times New Roman" w:cs="Times New Roman" w:eastAsia="Times New Roman" w:hAnsi="Times New Roman"/>
          <w:sz w:val="20"/>
          <w:szCs w:val="20"/>
          <w:color w:val="auto"/>
        </w:rPr>
        <w:t xml:space="preserve">”). The manner in which the Common Areas are maintained and operated shall be at the sole discretion of Landlord and the use thereof shall be subject to such rules, regulations and restrictions as Landlord may make from time to time, provided that such rules, regulations and restrictions do not unreasonably interfere with the rights granted to Tenant under this Lease and the permitted use granted under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below. Landlord reserves the right to close temporarily, make alterations or additions to, or change the location of elements of the Project and the Common Areas; provided that no such changes shall be permitted which materially reduce Tenant’s rights, use and enjoyment of the Premises, or access hereunder.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08" w:name="page409"/>
    <w:bookmarkEnd w:id="408"/>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b w:val="1"/>
          <w:bCs w:val="1"/>
          <w:u w:val="single" w:color="auto"/>
          <w:color w:val="auto"/>
        </w:rPr>
        <w:t>Stipulation of Rentable Square Feet of Premises</w:t>
      </w:r>
      <w:r>
        <w:rPr>
          <w:rFonts w:ascii="Times New Roman" w:cs="Times New Roman" w:eastAsia="Times New Roman" w:hAnsi="Times New Roman"/>
          <w:sz w:val="20"/>
          <w:szCs w:val="20"/>
          <w:color w:val="auto"/>
        </w:rPr>
        <w:t>For purposes of this Lease, the “rentable square feet” of Suite 104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Premises shall be deemed as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of the Summary. Landlord agrees to determine the actual rental square feet of Suites 110 and 120 as of their respective Lease Commencement Dates and, with respect to Suite 110 and 120, the actual rentable square feet as so determined shall be used to calculate amounts owed Landlord by Tenant and concessions granted by Landlord to Tenant with respect to such Suites, including, without limitation, rental, security deposit, additional rent, Tenant’s Share of Direct Expenses, parking passes, and the Tenant Improvement Allowance. For purposes of this Lease, and unless otherwise provided therein, any statement of square footage (including any statement of “usable square feet” or “rentable square feet”) set forth in this Lease for the Premises, the Building, the Project, or any portion thereof, or that may have been used in calculating amounts owed Landlord by Tenant or concessions granted by Landlord to Tenant, including, without limitation, rental, security deposit, additional rent, Tenant’s Share of Direct Expenses, parking passes, and Tenant Improvement Allowance, is an approximation which Landlord and Tenant agree is reasonable, and no amount owed by Tenant to Landlord or concession granted to Tenant by Landlord based on such approximation is subject to revision whether or not the actual square footage is more or less.</w:t>
      </w:r>
    </w:p>
    <w:p>
      <w:pPr>
        <w:spacing w:after="0" w:line="187"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1.3 </w:t>
      </w:r>
      <w:r>
        <w:rPr>
          <w:rFonts w:ascii="Times New Roman" w:cs="Times New Roman" w:eastAsia="Times New Roman" w:hAnsi="Times New Roman"/>
          <w:sz w:val="20"/>
          <w:szCs w:val="20"/>
          <w:b w:val="1"/>
          <w:bCs w:val="1"/>
          <w:u w:val="single" w:color="auto"/>
          <w:color w:val="auto"/>
        </w:rPr>
        <w:t>Additional Reservations</w:t>
      </w:r>
      <w:r>
        <w:rPr>
          <w:rFonts w:ascii="Times New Roman" w:cs="Times New Roman" w:eastAsia="Times New Roman" w:hAnsi="Times New Roman"/>
          <w:sz w:val="20"/>
          <w:szCs w:val="20"/>
          <w:color w:val="auto"/>
        </w:rPr>
        <w:t>In addition to other reservations of rights by Landlord in this Lease, Landlord reserves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rights: (a) to name the Building and/or Project or change the name or street address of the Building and/or Project without notice or liability of Landlord to Tenant; (b) to install and maintain a sign or signs on the interior and exterior of the Building; (c) to adjust Tenant’s Share as a result of and according to changes in the size of the Premises in relation to the size of the Building and/or Project and resulting from alterations or additions to the Building and/or Project or measurement of the Premises or Building or Project; (d) to approve the weight, size and location of safes and other heavy equipment and bulky articles in and about the Premises and the Building (so as not to overload the floors of the Premises); and (e) to take any and all commercially reasonable measures, including inspections, repairs, alterations, additions and improvements to the Premises or to the Building, as may be necessary or desirable for the safety, protection or preservation of the Premises or the Building or the Project or Landlord’s interest therein, or as may be necessary or desirable in the operation of the Project.</w:t>
      </w:r>
    </w:p>
    <w:p>
      <w:pPr>
        <w:spacing w:after="0" w:line="186"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1.4 </w:t>
      </w:r>
      <w:r>
        <w:rPr>
          <w:rFonts w:ascii="Times New Roman" w:cs="Times New Roman" w:eastAsia="Times New Roman" w:hAnsi="Times New Roman"/>
          <w:sz w:val="20"/>
          <w:szCs w:val="20"/>
          <w:b w:val="1"/>
          <w:bCs w:val="1"/>
          <w:u w:val="single" w:color="auto"/>
          <w:color w:val="auto"/>
        </w:rPr>
        <w:t>No Representations/Warranties</w:t>
      </w:r>
      <w:r>
        <w:rPr>
          <w:rFonts w:ascii="Times New Roman" w:cs="Times New Roman" w:eastAsia="Times New Roman" w:hAnsi="Times New Roman"/>
          <w:sz w:val="20"/>
          <w:szCs w:val="20"/>
          <w:color w:val="auto"/>
        </w:rPr>
        <w:t>Except as specifically set forth in this Lease and in the Tenant Work Letter (if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Tenant Work Letter</w:t>
      </w:r>
      <w:r>
        <w:rPr>
          <w:rFonts w:ascii="Times New Roman" w:cs="Times New Roman" w:eastAsia="Times New Roman" w:hAnsi="Times New Roman"/>
          <w:sz w:val="20"/>
          <w:szCs w:val="20"/>
          <w:color w:val="auto"/>
        </w:rPr>
        <w:t>”), the Premises shall be delivered to Tenant in its “AS-IS” condition and Landlord shall not be obligated to provide or pay for any improvement work or services related to the improvement of the Premises. Tenant also acknowledges and agrees that neither Landlord nor any agent of Landlord has made any representation, or warranty or covenant whatsoever with respect to the Premises, the Building or the Project, or the suitability or fitness thereof for the conduct of Tenant’s business or for any other purpose, the need for or availability of any governmental license or permit required for the proper and lawful conduct of Tenant’s business from the Premises, or any other matter relating to any of the foregoing, except as specifically set forth in this Lease or the Tenant Work Letter. Tenant is responsible for determining whether or not the applicable building codes, laws, statutes, covenants or restrictions of record, regulations, rules, requirements and ordinances, whether now or hereafter existing, including, without limitation, any such governmental regulations related to disabled access (collectively, the “</w:t>
      </w:r>
      <w:r>
        <w:rPr>
          <w:rFonts w:ascii="Times New Roman" w:cs="Times New Roman" w:eastAsia="Times New Roman" w:hAnsi="Times New Roman"/>
          <w:sz w:val="20"/>
          <w:szCs w:val="20"/>
          <w:b w:val="1"/>
          <w:bCs w:val="1"/>
          <w:color w:val="auto"/>
        </w:rPr>
        <w:t>Applicable Requirements</w:t>
      </w:r>
      <w:r>
        <w:rPr>
          <w:rFonts w:ascii="Times New Roman" w:cs="Times New Roman" w:eastAsia="Times New Roman" w:hAnsi="Times New Roman"/>
          <w:sz w:val="20"/>
          <w:szCs w:val="20"/>
          <w:color w:val="auto"/>
        </w:rPr>
        <w:t>”), and especially the zoning, are appropriate for Tenant’s intended use of the Premises, and acknowledges that past uses of the Premises may no longer be allowed. Tenant further acknowledges and agrees that: (i) it has been given an opportunity to inspect and measure the Premises, (ii) it has been advised by Landlord to satisfy itself with respect to the size and condition of the Premises (including but not limited to the electrical, HVAC and fire sprinkler systems, security, environmental aspects, and compliance with Applicable Requirements), and their suitability for Tenant’s intended use, (iii) Tenant has made such investigation as it deems necessary with reference to such matters and, except as may be otherwise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09" w:name="page410"/>
    <w:bookmarkEnd w:id="409"/>
    <w:p>
      <w:pPr>
        <w:jc w:val="both"/>
        <w:spacing w:after="0" w:line="254" w:lineRule="auto"/>
        <w:rPr>
          <w:sz w:val="20"/>
          <w:szCs w:val="20"/>
          <w:color w:val="auto"/>
        </w:rPr>
      </w:pPr>
      <w:r>
        <w:rPr>
          <w:rFonts w:ascii="Times New Roman" w:cs="Times New Roman" w:eastAsia="Times New Roman" w:hAnsi="Times New Roman"/>
          <w:sz w:val="20"/>
          <w:szCs w:val="20"/>
          <w:color w:val="auto"/>
        </w:rPr>
        <w:t>expressly set forth in this Lease, assumes all responsibility therefor as the same relate to its occupancy of the Premises, and (iv) it is not relying on any representation as to the size of the Premises made by Landlord. The taking of possession of the Premises by Tenant shall conclusively establish that the Premises, the Project and the Building were at such time in good and sanitary order, condition and repair.</w:t>
      </w:r>
    </w:p>
    <w:p>
      <w:pPr>
        <w:spacing w:after="0" w:line="17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LEASE TERM</w:t>
      </w:r>
    </w:p>
    <w:p>
      <w:pPr>
        <w:spacing w:after="0" w:line="190"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2.1 </w:t>
      </w:r>
      <w:r>
        <w:rPr>
          <w:rFonts w:ascii="Times New Roman" w:cs="Times New Roman" w:eastAsia="Times New Roman" w:hAnsi="Times New Roman"/>
          <w:sz w:val="20"/>
          <w:szCs w:val="20"/>
          <w:b w:val="1"/>
          <w:bCs w:val="1"/>
          <w:u w:val="single" w:color="auto"/>
          <w:color w:val="auto"/>
        </w:rPr>
        <w:t>Lease Term</w:t>
      </w:r>
      <w:r>
        <w:rPr>
          <w:rFonts w:ascii="Times New Roman" w:cs="Times New Roman" w:eastAsia="Times New Roman" w:hAnsi="Times New Roman"/>
          <w:sz w:val="20"/>
          <w:szCs w:val="20"/>
          <w:color w:val="auto"/>
        </w:rPr>
        <w:t>The TCCs and provisions of this Lease shall be effective as of the Effective Date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Summary. The term of this Lease (as such may be extended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below, the “</w:t>
      </w:r>
      <w:r>
        <w:rPr>
          <w:rFonts w:ascii="Times New Roman" w:cs="Times New Roman" w:eastAsia="Times New Roman" w:hAnsi="Times New Roman"/>
          <w:sz w:val="20"/>
          <w:szCs w:val="20"/>
          <w:b w:val="1"/>
          <w:bCs w:val="1"/>
          <w:color w:val="auto"/>
        </w:rPr>
        <w:t>Lease Term</w:t>
      </w:r>
      <w:r>
        <w:rPr>
          <w:rFonts w:ascii="Times New Roman" w:cs="Times New Roman" w:eastAsia="Times New Roman" w:hAnsi="Times New Roman"/>
          <w:sz w:val="20"/>
          <w:szCs w:val="20"/>
          <w:color w:val="auto"/>
        </w:rPr>
        <w:t xml:space="preserve">”) shall be as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of the Summary, shall commence on the dates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Lease Commencement Date</w:t>
      </w:r>
      <w:r>
        <w:rPr>
          <w:rFonts w:ascii="Times New Roman" w:cs="Times New Roman" w:eastAsia="Times New Roman" w:hAnsi="Times New Roman"/>
          <w:sz w:val="20"/>
          <w:szCs w:val="20"/>
          <w:color w:val="auto"/>
        </w:rPr>
        <w:t xml:space="preserve">”), and shall terminate on the date set forth in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Lease Expiration Date</w:t>
      </w:r>
      <w:r>
        <w:rPr>
          <w:rFonts w:ascii="Times New Roman" w:cs="Times New Roman" w:eastAsia="Times New Roman" w:hAnsi="Times New Roman"/>
          <w:sz w:val="20"/>
          <w:szCs w:val="20"/>
          <w:color w:val="auto"/>
        </w:rPr>
        <w:t>”) unless this Lease is sooner terminated as hereinafter provided. For purposes of this Lease, the term “</w:t>
      </w:r>
      <w:r>
        <w:rPr>
          <w:rFonts w:ascii="Times New Roman" w:cs="Times New Roman" w:eastAsia="Times New Roman" w:hAnsi="Times New Roman"/>
          <w:sz w:val="20"/>
          <w:szCs w:val="20"/>
          <w:b w:val="1"/>
          <w:bCs w:val="1"/>
          <w:color w:val="auto"/>
        </w:rPr>
        <w:t>Lease Year</w:t>
      </w:r>
      <w:r>
        <w:rPr>
          <w:rFonts w:ascii="Times New Roman" w:cs="Times New Roman" w:eastAsia="Times New Roman" w:hAnsi="Times New Roman"/>
          <w:sz w:val="20"/>
          <w:szCs w:val="20"/>
          <w:color w:val="auto"/>
        </w:rPr>
        <w:t>” shall mean each consecutive twelve (12)-month period during the Lease Term, beginning on the Lease Commencement Date; provided that if the Lease Commencement Date occurs on a day other than the first day of a calendar month, then the fractional month plus the next succeeding twelve (12) full calendar months shall constitute the first Lease Year of the Lease Term. Thereafter, the term “</w:t>
      </w:r>
      <w:r>
        <w:rPr>
          <w:rFonts w:ascii="Times New Roman" w:cs="Times New Roman" w:eastAsia="Times New Roman" w:hAnsi="Times New Roman"/>
          <w:sz w:val="20"/>
          <w:szCs w:val="20"/>
          <w:b w:val="1"/>
          <w:bCs w:val="1"/>
          <w:color w:val="auto"/>
        </w:rPr>
        <w:t>Lease Year</w:t>
      </w:r>
      <w:r>
        <w:rPr>
          <w:rFonts w:ascii="Times New Roman" w:cs="Times New Roman" w:eastAsia="Times New Roman" w:hAnsi="Times New Roman"/>
          <w:sz w:val="20"/>
          <w:szCs w:val="20"/>
          <w:color w:val="auto"/>
        </w:rPr>
        <w:t>” shall mean and refer to each succeeding period of twelve (12) full consecutive calendar months; provided, however, that the last Lease Year shall end on the Lease Expiration Date. Within thirty (30) days of the Lease Commencement Date, Landlord may deliver to Tenant a memorandum confirming the Lease Term dates in a form acceptable to Landlord, which notice Tenant shall execute and return to Landlord within five (5) days of receipt thereof.</w:t>
      </w:r>
    </w:p>
    <w:p>
      <w:pPr>
        <w:spacing w:after="0" w:line="190"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2.2 </w:t>
      </w:r>
      <w:r>
        <w:rPr>
          <w:rFonts w:ascii="Times New Roman" w:cs="Times New Roman" w:eastAsia="Times New Roman" w:hAnsi="Times New Roman"/>
          <w:sz w:val="20"/>
          <w:szCs w:val="20"/>
          <w:b w:val="1"/>
          <w:bCs w:val="1"/>
          <w:u w:val="single" w:color="auto"/>
          <w:color w:val="auto"/>
        </w:rPr>
        <w:t>Delivery of Possession</w:t>
      </w:r>
      <w:r>
        <w:rPr>
          <w:rFonts w:ascii="Times New Roman" w:cs="Times New Roman" w:eastAsia="Times New Roman" w:hAnsi="Times New Roman"/>
          <w:sz w:val="20"/>
          <w:szCs w:val="20"/>
          <w:color w:val="auto"/>
        </w:rPr>
        <w:t>Possession of Suite 104 of the Premises shall be delivered by Landlord to Tenant for the purpose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allowing Tenant to commence Tenant’s work pursuant to the Tenant Work Letter on or about August 1, 2020; provided, however, that if the Premises is ready for delivery prior to such date and this Lease has been fully executed, Landlord will deliver possession of Suite 104 when it is ready for delivery. Tenant shall deliver each of the following to Landlord prior to commencing any work in the Premises: (i) the first month’s installment of Base Rent and estimated Additional Rent; (ii) the Security Deposit pursuant to </w:t>
      </w:r>
      <w:r>
        <w:rPr>
          <w:rFonts w:ascii="Times New Roman" w:cs="Times New Roman" w:eastAsia="Times New Roman" w:hAnsi="Times New Roman"/>
          <w:sz w:val="20"/>
          <w:szCs w:val="20"/>
          <w:u w:val="single" w:color="auto"/>
          <w:color w:val="auto"/>
        </w:rPr>
        <w:t>Article 21</w:t>
      </w:r>
      <w:r>
        <w:rPr>
          <w:rFonts w:ascii="Times New Roman" w:cs="Times New Roman" w:eastAsia="Times New Roman" w:hAnsi="Times New Roman"/>
          <w:sz w:val="20"/>
          <w:szCs w:val="20"/>
          <w:color w:val="auto"/>
        </w:rPr>
        <w:t xml:space="preserve"> below; and (iii) executed copies of policies of insurance or certificates thereof (as required under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Landlord shall not be obligated to deliver possession of the Premises to Tenant until such items are delivered, but the Lease Commencement Date shall not be affected by Tenant’s failure to deliver any of such items. Landlord shall deliver actual and exclusive physical possession of the Premises in broom clean condition with all systems (including without limitation HVAC, plumbing, electrical, mechanical, and fire, life and safety) serving the Premises in good condition and working order. In the event Landlord is unable to deliver possession of Suite 110 on March 1, 2021, or is unable to delivery possession of Suite 120 on May 1, 2021, Landlord shall have no liability as a result thereof, but the actual commencement date for such portion of the Premises shall be adjusted to be the date Landlord actually delivers possession to Tenant.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0" w:name="page411"/>
    <w:bookmarkEnd w:id="410"/>
    <w:p>
      <w:pPr>
        <w:jc w:val="both"/>
        <w:ind w:firstLine="832"/>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2.3 </w:t>
      </w:r>
      <w:r>
        <w:rPr>
          <w:rFonts w:ascii="Times New Roman" w:cs="Times New Roman" w:eastAsia="Times New Roman" w:hAnsi="Times New Roman"/>
          <w:sz w:val="20"/>
          <w:szCs w:val="20"/>
          <w:b w:val="1"/>
          <w:bCs w:val="1"/>
          <w:u w:val="single" w:color="auto"/>
          <w:color w:val="auto"/>
        </w:rPr>
        <w:t>Early Possession</w:t>
      </w:r>
      <w:r>
        <w:rPr>
          <w:rFonts w:ascii="Times New Roman" w:cs="Times New Roman" w:eastAsia="Times New Roman" w:hAnsi="Times New Roman"/>
          <w:sz w:val="20"/>
          <w:szCs w:val="20"/>
          <w:color w:val="auto"/>
        </w:rPr>
        <w:t>Tenant shall have the right to access Suite 104 of the Premises prior to the Lease Commencement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Date for purposes of completing Tenant’s Work pursuant to the Tenant Work Letter and installing Tenant’s furniture, fixtures and equipment (including telecommunications lines and equipment). Notwithstanding anything to the contrary contained in this Lease, all installation of Tenant’s furniture, fixtures and equipment (including, without limitation, any telecommunications lines and equipment) shall be at Tenant’s sole cost and expense and Landlord shall have no liability therefor. Tenant’s access to the Premises prior to the Lease Commencement Date shall be subject to all the terms and conditions of the Lease except that Tenant shall not be required to pay Base Rent or Additional Rent to Landlord for any period of access prior to the Lease Commencement Date. Notwithstanding the foregoing and anything to the contrary set forth in the Lease, Tenant shall be liable for and shall promptly pay to Landlord pursuant to the terms of the Lease the “Above-Standard Tenant Services” (as defined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below) that are provided to Tenant or the Premises during the period of Tenant’s access prior to the Lease Commencement Date.</w:t>
      </w:r>
    </w:p>
    <w:p>
      <w:pPr>
        <w:spacing w:after="0" w:line="182" w:lineRule="exact"/>
        <w:rPr>
          <w:sz w:val="20"/>
          <w:szCs w:val="20"/>
          <w:color w:val="auto"/>
        </w:rPr>
      </w:pPr>
    </w:p>
    <w:p>
      <w:pPr>
        <w:ind w:left="84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u w:val="single" w:color="auto"/>
          <w:color w:val="auto"/>
        </w:rPr>
        <w:t>Option to Extend Term.</w:t>
      </w:r>
    </w:p>
    <w:p>
      <w:pPr>
        <w:spacing w:after="0" w:line="216" w:lineRule="exact"/>
        <w:rPr>
          <w:sz w:val="20"/>
          <w:szCs w:val="20"/>
          <w:color w:val="auto"/>
        </w:rPr>
      </w:pPr>
    </w:p>
    <w:p>
      <w:pPr>
        <w:jc w:val="both"/>
        <w:ind w:firstLine="1663"/>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2.4.1. </w:t>
      </w:r>
      <w:r>
        <w:rPr>
          <w:rFonts w:ascii="Times New Roman" w:cs="Times New Roman" w:eastAsia="Times New Roman" w:hAnsi="Times New Roman"/>
          <w:sz w:val="20"/>
          <w:szCs w:val="20"/>
          <w:b w:val="1"/>
          <w:bCs w:val="1"/>
          <w:u w:val="single" w:color="auto"/>
          <w:color w:val="auto"/>
        </w:rPr>
        <w:t>Option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hereby grants to Tenant one option (the “</w:t>
      </w:r>
      <w:r>
        <w:rPr>
          <w:rFonts w:ascii="Times New Roman" w:cs="Times New Roman" w:eastAsia="Times New Roman" w:hAnsi="Times New Roman"/>
          <w:sz w:val="20"/>
          <w:szCs w:val="20"/>
          <w:b w:val="1"/>
          <w:bCs w:val="1"/>
          <w:color w:val="auto"/>
        </w:rPr>
        <w:t>Extension Option</w:t>
      </w:r>
      <w:r>
        <w:rPr>
          <w:rFonts w:ascii="Times New Roman" w:cs="Times New Roman" w:eastAsia="Times New Roman" w:hAnsi="Times New Roman"/>
          <w:sz w:val="20"/>
          <w:szCs w:val="20"/>
          <w:color w:val="auto"/>
        </w:rPr>
        <w:t>”) to extend the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 for an additional period of years set forth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Option Term</w:t>
      </w:r>
      <w:r>
        <w:rPr>
          <w:rFonts w:ascii="Times New Roman" w:cs="Times New Roman" w:eastAsia="Times New Roman" w:hAnsi="Times New Roman"/>
          <w:sz w:val="20"/>
          <w:szCs w:val="20"/>
          <w:color w:val="auto"/>
        </w:rPr>
        <w:t xml:space="preserve">”), on the same TCCs as provided for in this Lease during the initial Lease Term, except that Tenant shall have no further options to extend the Lease Term and except for the Base Rent, which shall equal the “fair market rental rate” for the Premises for each Option Term as defined and determined in accordance with </w:t>
      </w:r>
      <w:r>
        <w:rPr>
          <w:rFonts w:ascii="Times New Roman" w:cs="Times New Roman" w:eastAsia="Times New Roman" w:hAnsi="Times New Roman"/>
          <w:sz w:val="20"/>
          <w:szCs w:val="20"/>
          <w:u w:val="single" w:color="auto"/>
          <w:color w:val="auto"/>
        </w:rPr>
        <w:t>Section 2.4.2</w:t>
      </w:r>
      <w:r>
        <w:rPr>
          <w:rFonts w:ascii="Times New Roman" w:cs="Times New Roman" w:eastAsia="Times New Roman" w:hAnsi="Times New Roman"/>
          <w:sz w:val="20"/>
          <w:szCs w:val="20"/>
          <w:color w:val="auto"/>
        </w:rPr>
        <w:t xml:space="preserve"> below. Each Extension Option must be exercised, if at all, by written notice (an “</w:t>
      </w:r>
      <w:r>
        <w:rPr>
          <w:rFonts w:ascii="Times New Roman" w:cs="Times New Roman" w:eastAsia="Times New Roman" w:hAnsi="Times New Roman"/>
          <w:sz w:val="20"/>
          <w:szCs w:val="20"/>
          <w:b w:val="1"/>
          <w:bCs w:val="1"/>
          <w:color w:val="auto"/>
        </w:rPr>
        <w:t>Extension Notice</w:t>
      </w:r>
      <w:r>
        <w:rPr>
          <w:rFonts w:ascii="Times New Roman" w:cs="Times New Roman" w:eastAsia="Times New Roman" w:hAnsi="Times New Roman"/>
          <w:sz w:val="20"/>
          <w:szCs w:val="20"/>
          <w:color w:val="auto"/>
        </w:rPr>
        <w:t xml:space="preserve">”) delivered by Tenant to Landlord no sooner than that date which is fifteen (15) months and no later than that date which is twelve (12) months prior to the Lease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Tenant has properly and timely exercised an Extension Option, the then current term of the Lease shall be extended by the Option Term, and all TCCs of the Lease shall remain unmodified and in full force and effect, except that the Base Rent shall be as set forth above. Extension Options may only be exercised consecutively.</w:t>
      </w:r>
    </w:p>
    <w:p>
      <w:pPr>
        <w:spacing w:after="0" w:line="186" w:lineRule="exact"/>
        <w:rPr>
          <w:sz w:val="20"/>
          <w:szCs w:val="20"/>
          <w:color w:val="auto"/>
        </w:rPr>
      </w:pPr>
    </w:p>
    <w:p>
      <w:pPr>
        <w:jc w:val="both"/>
        <w:ind w:firstLine="1663"/>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2. 4.2. </w:t>
      </w:r>
      <w:r>
        <w:rPr>
          <w:rFonts w:ascii="Times New Roman" w:cs="Times New Roman" w:eastAsia="Times New Roman" w:hAnsi="Times New Roman"/>
          <w:sz w:val="20"/>
          <w:szCs w:val="20"/>
          <w:b w:val="1"/>
          <w:bCs w:val="1"/>
          <w:u w:val="single" w:color="auto"/>
          <w:color w:val="auto"/>
        </w:rPr>
        <w:t>Option 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valid exercise of the Extension Option by Tenant, the monthly Base Rent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Option Term shall be (a) the fair market rental rate for the Premises during the first Lease Year of the Option Term; and (b) thereafter, the monthly Base Rent in each subsequent Lease Year during the Option Term shall be the monthly Base Rent in effect during the immediately preceding Lease Year </w:t>
      </w:r>
      <w:r>
        <w:rPr>
          <w:rFonts w:ascii="Times New Roman" w:cs="Times New Roman" w:eastAsia="Times New Roman" w:hAnsi="Times New Roman"/>
          <w:sz w:val="20"/>
          <w:szCs w:val="20"/>
          <w:i w:val="1"/>
          <w:iCs w:val="1"/>
          <w:color w:val="auto"/>
        </w:rPr>
        <w:t>plus three percent (3%)</w:t>
      </w:r>
      <w:r>
        <w:rPr>
          <w:rFonts w:ascii="Times New Roman" w:cs="Times New Roman" w:eastAsia="Times New Roman" w:hAnsi="Times New Roman"/>
          <w:sz w:val="20"/>
          <w:szCs w:val="20"/>
          <w:color w:val="auto"/>
        </w:rPr>
        <w:t xml:space="preserve"> of such monthly Base Rent. The term “fair market rental rate” as used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2.4.1</w:t>
      </w:r>
      <w:r>
        <w:rPr>
          <w:rFonts w:ascii="Times New Roman" w:cs="Times New Roman" w:eastAsia="Times New Roman" w:hAnsi="Times New Roman"/>
          <w:sz w:val="20"/>
          <w:szCs w:val="20"/>
          <w:color w:val="auto"/>
        </w:rPr>
        <w:t xml:space="preserve"> above shall mean the annual amount per square foot, projected during the Option Term that a willing, non-equity, financially-comparable, renewal tenant (excluding sublease and assignment transactions) would pay, and a willing landlord of a comparable building located in the City of Bothell, Washington market area (the “</w:t>
      </w:r>
      <w:r>
        <w:rPr>
          <w:rFonts w:ascii="Times New Roman" w:cs="Times New Roman" w:eastAsia="Times New Roman" w:hAnsi="Times New Roman"/>
          <w:sz w:val="20"/>
          <w:szCs w:val="20"/>
          <w:b w:val="1"/>
          <w:bCs w:val="1"/>
          <w:color w:val="auto"/>
        </w:rPr>
        <w:t>Comparison Area</w:t>
      </w:r>
      <w:r>
        <w:rPr>
          <w:rFonts w:ascii="Times New Roman" w:cs="Times New Roman" w:eastAsia="Times New Roman" w:hAnsi="Times New Roman"/>
          <w:sz w:val="20"/>
          <w:szCs w:val="20"/>
          <w:color w:val="auto"/>
        </w:rPr>
        <w:t>”) would accept, in an arm’s length transaction (what Landlord is accepting in then current transactions for premises located in the Building may be used for purposes of projecting rent for the Option Term), for space of comparable size, quality and floor height as the Premises, taking into account the age, quality and layout of the existing improvements in the Premises, and taking into account items that professional real estate brokers or professional real estate appraisers customarily consider, including, but not limited to, rental rates, space availability, tenant size, parking charges, rental abatement, tenant improvement allowances, and any other lease considerations and concessions, if any, then being charged or granted by Landlord or the lessors of such similar buildings. All economic terms other than Base Rent, such as operating expense allowances, parking charges, etc., will be established by Landlord and will be factored into the determination of the fair market rental rate for the Option Term. Accordingly, the fair market rental rate will be an effective rate, not specifically including, but accounting for, the appropriate economic considerations described above.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11" w:name="page412"/>
    <w:bookmarkEnd w:id="411"/>
    <w:p>
      <w:pPr>
        <w:jc w:val="both"/>
        <w:ind w:firstLine="1663"/>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2.4.3. </w:t>
      </w:r>
      <w:r>
        <w:rPr>
          <w:rFonts w:ascii="Times New Roman" w:cs="Times New Roman" w:eastAsia="Times New Roman" w:hAnsi="Times New Roman"/>
          <w:sz w:val="20"/>
          <w:szCs w:val="20"/>
          <w:b w:val="1"/>
          <w:bCs w:val="1"/>
          <w:u w:val="single" w:color="auto"/>
          <w:color w:val="auto"/>
        </w:rPr>
        <w:t>Exercise of Option(s)</w:t>
      </w:r>
      <w:r>
        <w:rPr>
          <w:rFonts w:ascii="Times New Roman" w:cs="Times New Roman" w:eastAsia="Times New Roman" w:hAnsi="Times New Roman"/>
          <w:sz w:val="20"/>
          <w:szCs w:val="20"/>
          <w:color w:val="auto"/>
        </w:rPr>
        <w:t>. In the event of Tenant’s timely and proper delivery of the Extension Notice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2.4.1</w:t>
      </w:r>
      <w:r>
        <w:rPr>
          <w:rFonts w:ascii="Times New Roman" w:cs="Times New Roman" w:eastAsia="Times New Roman" w:hAnsi="Times New Roman"/>
          <w:sz w:val="20"/>
          <w:szCs w:val="20"/>
          <w:color w:val="auto"/>
        </w:rPr>
        <w:t xml:space="preserve"> above with respect to the Extension Option, Landlord shall provide written notice of Landlord’s reasonable, good faith determination of the fair market rental rate not later than ninety (90) days following Landlord’s receipt of such Extension Notice. Tenant shall have twenty (20) business days after receipt of Landlord’s notice of the fair market rental rate within which to either accept or object to such proposed fair market rental rate by delivering written notice (“</w:t>
      </w:r>
      <w:r>
        <w:rPr>
          <w:rFonts w:ascii="Times New Roman" w:cs="Times New Roman" w:eastAsia="Times New Roman" w:hAnsi="Times New Roman"/>
          <w:sz w:val="20"/>
          <w:szCs w:val="20"/>
          <w:b w:val="1"/>
          <w:bCs w:val="1"/>
          <w:color w:val="auto"/>
        </w:rPr>
        <w:t>Exercise Notice</w:t>
      </w:r>
      <w:r>
        <w:rPr>
          <w:rFonts w:ascii="Times New Roman" w:cs="Times New Roman" w:eastAsia="Times New Roman" w:hAnsi="Times New Roman"/>
          <w:sz w:val="20"/>
          <w:szCs w:val="20"/>
          <w:color w:val="auto"/>
        </w:rPr>
        <w:t>”) thereof to Landlord. For purposes of this Section, the last day of such 20-business day period shall be referred herein as the “</w:t>
      </w:r>
      <w:r>
        <w:rPr>
          <w:rFonts w:ascii="Times New Roman" w:cs="Times New Roman" w:eastAsia="Times New Roman" w:hAnsi="Times New Roman"/>
          <w:sz w:val="20"/>
          <w:szCs w:val="20"/>
          <w:b w:val="1"/>
          <w:bCs w:val="1"/>
          <w:color w:val="auto"/>
        </w:rPr>
        <w:t>Exercise Date</w:t>
      </w:r>
      <w:r>
        <w:rPr>
          <w:rFonts w:ascii="Times New Roman" w:cs="Times New Roman" w:eastAsia="Times New Roman" w:hAnsi="Times New Roman"/>
          <w:sz w:val="20"/>
          <w:szCs w:val="20"/>
          <w:color w:val="auto"/>
        </w:rPr>
        <w:t>”. Tenant’s failure to deliver the Exercise Notice on or before the Exercise Date shall be deemed to constitute Tenant’s waiver of the Extension Option. If Tenant disagrees with Landlord’s determination of the fair market rental rate but Landlord and Tenant are unable to resolve such disagreement as to the fair market rental rate within 15 business days (“</w:t>
      </w:r>
      <w:r>
        <w:rPr>
          <w:rFonts w:ascii="Times New Roman" w:cs="Times New Roman" w:eastAsia="Times New Roman" w:hAnsi="Times New Roman"/>
          <w:sz w:val="20"/>
          <w:szCs w:val="20"/>
          <w:b w:val="1"/>
          <w:bCs w:val="1"/>
          <w:color w:val="auto"/>
        </w:rPr>
        <w:t>Option Resolution Period</w:t>
      </w:r>
      <w:r>
        <w:rPr>
          <w:rFonts w:ascii="Times New Roman" w:cs="Times New Roman" w:eastAsia="Times New Roman" w:hAnsi="Times New Roman"/>
          <w:sz w:val="20"/>
          <w:szCs w:val="20"/>
          <w:color w:val="auto"/>
        </w:rPr>
        <w:t>”), then either (i) Tenant shall have the option to rescind its option to extend and the Extension Option shall be null and void as of the Exercise Date, and Landlord and Tenant shall have no further liability to the other under this Section 2.4 or (ii) Tenant and Landlord shall have the fair market rental rate determined by an appraiser who is acceptable to both parties. Tenant shall make an election of (i) or (ii) above prior to the expiration of the Option Resolution Period (absent such election, Tenant shall be deemed to have elected option (i)). The appraiser determining such fair market rental rate shall deliver such determination to the parties within 30 days after his or her selection. Such determination shall be in writing and be final and binding upon the parties hereto. The parties hereto shall bear the cost of the services of such appraiser equally. The appraiser selected to determine the fair market rental rate must have at least 5 years of experience in the appraisal of properties similar to the Premises in the vicinity of the Premises.</w:t>
      </w:r>
    </w:p>
    <w:p>
      <w:pPr>
        <w:spacing w:after="0" w:line="193"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2.4.4. </w:t>
      </w:r>
      <w:r>
        <w:rPr>
          <w:rFonts w:ascii="Times New Roman" w:cs="Times New Roman" w:eastAsia="Times New Roman" w:hAnsi="Times New Roman"/>
          <w:sz w:val="20"/>
          <w:szCs w:val="20"/>
          <w:b w:val="1"/>
          <w:bCs w:val="1"/>
          <w:u w:val="single" w:color="auto"/>
          <w:color w:val="auto"/>
        </w:rPr>
        <w:t>Effect of Default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will have no right to exercise the Extension Option, notwithstanding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the grant of option to the contrary, and Tenant’s exercise of the Extension Option may be nullified by Landlord and deemed of no further force or effect, if (i) Tenant is in default of any monetary obligation or material non-monetary obligation under the terms of this Lease beyond any applicable grace or cure period as of Tenant’s exercise of such Extension Option in question or at any time after the exercise of any such Extension Option and prior to the commencement of the Option Term, or (ii) Landlord has given Tenant two (2) or more notices of default, whether or not such defaults are subsequently cured, during any twelve (12) consecutive-month period of this Lease, or</w:t>
      </w:r>
    </w:p>
    <w:p>
      <w:pPr>
        <w:ind w:firstLine="8"/>
        <w:spacing w:after="0" w:line="246" w:lineRule="auto"/>
        <w:tabs>
          <w:tab w:leader="none" w:pos="363"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assigned more than 33% of this Lease or its interest therein or sublet more than 33% of the Premises excluding Permitted Transfers (as defined in Article 14).</w:t>
      </w:r>
    </w:p>
    <w:p>
      <w:pPr>
        <w:spacing w:after="0" w:line="178" w:lineRule="exact"/>
        <w:rPr>
          <w:sz w:val="20"/>
          <w:szCs w:val="20"/>
          <w:color w:val="auto"/>
        </w:rPr>
      </w:pPr>
    </w:p>
    <w:p>
      <w:pPr>
        <w:jc w:val="both"/>
        <w:ind w:firstLine="1663"/>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2.4.5. </w:t>
      </w:r>
      <w:r>
        <w:rPr>
          <w:rFonts w:ascii="Times New Roman" w:cs="Times New Roman" w:eastAsia="Times New Roman" w:hAnsi="Times New Roman"/>
          <w:sz w:val="20"/>
          <w:szCs w:val="20"/>
          <w:b w:val="1"/>
          <w:bCs w:val="1"/>
          <w:u w:val="single" w:color="auto"/>
          <w:color w:val="auto"/>
        </w:rPr>
        <w:t>Option Personal</w:t>
      </w:r>
      <w:r>
        <w:rPr>
          <w:rFonts w:ascii="Times New Roman" w:cs="Times New Roman" w:eastAsia="Times New Roman" w:hAnsi="Times New Roman"/>
          <w:sz w:val="20"/>
          <w:szCs w:val="20"/>
          <w:color w:val="auto"/>
        </w:rPr>
        <w:t>. Each Extension Option granted to Tenant is personal to the original Tenant executing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Lease (the “</w:t>
      </w:r>
      <w:r>
        <w:rPr>
          <w:rFonts w:ascii="Times New Roman" w:cs="Times New Roman" w:eastAsia="Times New Roman" w:hAnsi="Times New Roman"/>
          <w:sz w:val="20"/>
          <w:szCs w:val="20"/>
          <w:b w:val="1"/>
          <w:bCs w:val="1"/>
          <w:color w:val="auto"/>
        </w:rPr>
        <w:t>Original Tenant</w:t>
      </w:r>
      <w:r>
        <w:rPr>
          <w:rFonts w:ascii="Times New Roman" w:cs="Times New Roman" w:eastAsia="Times New Roman" w:hAnsi="Times New Roman"/>
          <w:sz w:val="20"/>
          <w:szCs w:val="20"/>
          <w:color w:val="auto"/>
        </w:rPr>
        <w:t>”) and may be exercised only by the Original Tenant (or a Permitted Transferee (as defined in Article 14)) while occupying at least 67% of the Premises and without the intent of thereafter further assigning this Lease or subletting the Premises and may not be exercised or be assigned, voluntarily or involuntarily, by any person or entity other than the Original Tenant (or a Permitted Transferee). The Extension Option granted to Tenant under this Lease is not assignable separate and apart from this Lease, nor may the Extension Option be separated from this Lease in any manner, either by reservation or otherwise.</w:t>
      </w:r>
    </w:p>
    <w:p>
      <w:pPr>
        <w:spacing w:after="0" w:line="179" w:lineRule="exact"/>
        <w:rPr>
          <w:sz w:val="20"/>
          <w:szCs w:val="20"/>
          <w:color w:val="auto"/>
        </w:rPr>
      </w:pPr>
    </w:p>
    <w:p>
      <w:pPr>
        <w:jc w:val="both"/>
        <w:ind w:right="20" w:firstLine="166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2.4.6. </w:t>
      </w:r>
      <w:r>
        <w:rPr>
          <w:rFonts w:ascii="Times New Roman" w:cs="Times New Roman" w:eastAsia="Times New Roman" w:hAnsi="Times New Roman"/>
          <w:sz w:val="20"/>
          <w:szCs w:val="20"/>
          <w:b w:val="1"/>
          <w:bCs w:val="1"/>
          <w:u w:val="single" w:color="auto"/>
          <w:color w:val="auto"/>
        </w:rPr>
        <w:t>Termination of Option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Extension Option granted herein shall automatically terminate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upon the failure by Tenant to timely and properly exercise such Extension Option in accordance with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12" w:name="page413"/>
    <w:bookmarkEnd w:id="412"/>
    <w:tbl>
      <w:tblPr>
        <w:tblLayout w:type="fixed"/>
        <w:tblInd w:w="84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580" w:type="dxa"/>
            <w:vAlign w:val="bottom"/>
          </w:tcPr>
          <w:p>
            <w:pPr>
              <w:ind w:left="2840"/>
              <w:spacing w:after="0"/>
              <w:rPr>
                <w:sz w:val="20"/>
                <w:szCs w:val="20"/>
                <w:color w:val="auto"/>
              </w:rPr>
            </w:pPr>
            <w:r>
              <w:rPr>
                <w:rFonts w:ascii="Times New Roman" w:cs="Times New Roman" w:eastAsia="Times New Roman" w:hAnsi="Times New Roman"/>
                <w:sz w:val="20"/>
                <w:szCs w:val="20"/>
                <w:b w:val="1"/>
                <w:bCs w:val="1"/>
                <w:color w:val="auto"/>
              </w:rPr>
              <w:t>ARTICLE 3.</w:t>
            </w:r>
          </w:p>
        </w:tc>
      </w:tr>
      <w:tr>
        <w:trPr>
          <w:trHeight w:val="262"/>
        </w:trPr>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580" w:type="dxa"/>
            <w:vAlign w:val="bottom"/>
          </w:tcPr>
          <w:p>
            <w:pPr>
              <w:ind w:left="2820"/>
              <w:spacing w:after="0"/>
              <w:rPr>
                <w:sz w:val="20"/>
                <w:szCs w:val="20"/>
                <w:color w:val="auto"/>
              </w:rPr>
            </w:pPr>
            <w:r>
              <w:rPr>
                <w:rFonts w:ascii="Times New Roman" w:cs="Times New Roman" w:eastAsia="Times New Roman" w:hAnsi="Times New Roman"/>
                <w:sz w:val="20"/>
                <w:szCs w:val="20"/>
                <w:b w:val="1"/>
                <w:bCs w:val="1"/>
                <w:color w:val="auto"/>
              </w:rPr>
              <w:t>BASE RENT</w:t>
            </w:r>
          </w:p>
        </w:tc>
      </w:tr>
      <w:tr>
        <w:trPr>
          <w:trHeight w:val="399"/>
        </w:trPr>
        <w:tc>
          <w:tcPr>
            <w:tcW w:w="90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w w:val="87"/>
              </w:rPr>
              <w:t>3.1</w:t>
            </w:r>
          </w:p>
        </w:tc>
        <w:tc>
          <w:tcPr>
            <w:tcW w:w="9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In General</w:t>
            </w:r>
            <w:r>
              <w:rPr>
                <w:rFonts w:ascii="Times New Roman" w:cs="Times New Roman" w:eastAsia="Times New Roman" w:hAnsi="Times New Roman"/>
                <w:sz w:val="20"/>
                <w:szCs w:val="20"/>
                <w:color w:val="auto"/>
                <w:w w:val="98"/>
              </w:rPr>
              <w:t>Tenant shall pay, without prior notice or demand, to Landlord or Landlord’s agent at the management office</w:t>
            </w:r>
          </w:p>
        </w:tc>
      </w:tr>
      <w:tr>
        <w:trPr>
          <w:trHeight w:val="20"/>
        </w:trPr>
        <w:tc>
          <w:tcPr>
            <w:tcW w:w="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Times New Roman" w:cs="Times New Roman" w:eastAsia="Times New Roman" w:hAnsi="Times New Roman"/>
          <w:sz w:val="20"/>
          <w:szCs w:val="20"/>
          <w:b w:val="1"/>
          <w:bCs w:val="1"/>
          <w:color w:val="auto"/>
        </w:rPr>
        <w:t>Base Rent</w:t>
      </w:r>
      <w:r>
        <w:rPr>
          <w:rFonts w:ascii="Times New Roman" w:cs="Times New Roman" w:eastAsia="Times New Roman" w:hAnsi="Times New Roman"/>
          <w:sz w:val="20"/>
          <w:szCs w:val="20"/>
          <w:color w:val="auto"/>
        </w:rPr>
        <w:t xml:space="preserve">”)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Summary, payable in equal monthly installments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Summary in advance on or before the first day of each and every calendar month during the Lease Term, without any setoff or deduction whatsoever (except as may otherwise expressly permitted under this Lease). In the event that any invoice prepared by Landlord is inaccurate, such inaccuracy shall not constitute a waiver and Tenant shall be obligated to pay the amount set forth in this Lease. Acceptance of a payment which is less than the amount then due shall not be a waiver of Landlord’s rights to the balance of such Rent, regardless of Landlord’s endorsement of any check so stating. Payments will be applied first to accrued late charges, second to accrued interest as set forth in this Lease, then to Base Rent and Tenant’s Share of Direct Expenses, and any remaining amount to any other outstanding charges or costs. The Base Rent for the first full month of the Lease Term which occurs after the expiration of any “free rent” period shall be paid at the time of Tenant’s execution of this Lease. If any payment of Rent is for a period which is shorter than one month, the Rent for any such fractional month shall accrue on a daily basis during such fractional month and shall total an amount equal to the product of (i) a fraction, the numerator of which is the number of days in such fractional month and the denominator of which is the actual number of days occurring in such calendar month, and (ii) the then-applicable monthly installment of Base Rent. All other payments or adjustments required to be made under the TCCs of this Lease that require proration on a time basis shall be prorated on the same basis. Without limitation on other obligations of Tenant which shall survive the expiration of the Lease Term, the obligations of Tenant to pay the Base Rent during the Lease Term as provided for in this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shall survive the expiration and sooner termination of the Lease Term.</w:t>
      </w:r>
    </w:p>
    <w:p>
      <w:pPr>
        <w:spacing w:after="0" w:line="188"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Abated Base Rent and Additional Rent</w:t>
      </w:r>
      <w:r>
        <w:rPr>
          <w:rFonts w:ascii="Times New Roman" w:cs="Times New Roman" w:eastAsia="Times New Roman" w:hAnsi="Times New Roman"/>
          <w:sz w:val="20"/>
          <w:szCs w:val="20"/>
          <w:color w:val="auto"/>
        </w:rPr>
        <w:t>Tenant shall not be obligated to pay any Base Rent otherwise attributable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Premises (the “</w:t>
      </w:r>
      <w:r>
        <w:rPr>
          <w:rFonts w:ascii="Times New Roman" w:cs="Times New Roman" w:eastAsia="Times New Roman" w:hAnsi="Times New Roman"/>
          <w:sz w:val="20"/>
          <w:szCs w:val="20"/>
          <w:b w:val="1"/>
          <w:bCs w:val="1"/>
          <w:color w:val="auto"/>
        </w:rPr>
        <w:t>Base Rent Abatement</w:t>
      </w:r>
      <w:r>
        <w:rPr>
          <w:rFonts w:ascii="Times New Roman" w:cs="Times New Roman" w:eastAsia="Times New Roman" w:hAnsi="Times New Roman"/>
          <w:sz w:val="20"/>
          <w:szCs w:val="20"/>
          <w:color w:val="auto"/>
        </w:rPr>
        <w:t xml:space="preserve">”) for those full calendar months of the initial Lease Term indicated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Base Rent Abatement Periods</w:t>
      </w:r>
      <w:r>
        <w:rPr>
          <w:rFonts w:ascii="Times New Roman" w:cs="Times New Roman" w:eastAsia="Times New Roman" w:hAnsi="Times New Roman"/>
          <w:sz w:val="20"/>
          <w:szCs w:val="20"/>
          <w:color w:val="auto"/>
        </w:rPr>
        <w:t xml:space="preserve">”). Tenant acknowledges and agrees that during such Base Rent Abatement Periods, such abatement of Base Rent for the Premises shall have no effect on the calculation of any future increases in Base Rent or Direct Expenses payable by Tenant pursuant to the terms of this Lease, which increases shall be calculated without regard to such Base Rent Abatement. Additionally, Tenant shall not be obligated to pay “Additional Rent” (as that term is defined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of this Lease) during the Base Rent Abatement Periods with respect to the portion of the Premises for which Base Rent is abated. Tenant acknowledges and agrees that the foregoing Base Rent Abatement has been granted to Tenant as additional consideration for entering into this Lease, and for agreeing to pay the Base Rent and perform the TCCs otherwise required under this Lease.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13" w:name="page414"/>
    <w:bookmarkEnd w:id="413"/>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ADDITIONAL RENT</w:t>
      </w:r>
    </w:p>
    <w:p>
      <w:pPr>
        <w:spacing w:after="0" w:line="190"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General Terms</w:t>
      </w:r>
      <w:r>
        <w:rPr>
          <w:rFonts w:ascii="Times New Roman" w:cs="Times New Roman" w:eastAsia="Times New Roman" w:hAnsi="Times New Roman"/>
          <w:sz w:val="20"/>
          <w:szCs w:val="20"/>
          <w:color w:val="auto"/>
        </w:rPr>
        <w:t>In addition to paying the Base Rent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Lease, Tenant shall pay “Tenant’s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Share” of the annual “Direct Expenses” for any “Expense Year”, as those terms are defined in </w:t>
      </w:r>
      <w:r>
        <w:rPr>
          <w:rFonts w:ascii="Times New Roman" w:cs="Times New Roman" w:eastAsia="Times New Roman" w:hAnsi="Times New Roman"/>
          <w:sz w:val="20"/>
          <w:szCs w:val="20"/>
          <w:u w:val="single" w:color="auto"/>
          <w:color w:val="auto"/>
        </w:rPr>
        <w:t>Sections 4.2.5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4.2.3</w:t>
      </w:r>
      <w:r>
        <w:rPr>
          <w:rFonts w:ascii="Times New Roman" w:cs="Times New Roman" w:eastAsia="Times New Roman" w:hAnsi="Times New Roman"/>
          <w:sz w:val="20"/>
          <w:szCs w:val="20"/>
          <w:color w:val="auto"/>
        </w:rPr>
        <w:t xml:space="preserve"> of this Lease, respectively. Such payments by Tenant, together with any and all other amounts (other than Base Rent) payable by Tenant to Landlord pursuant to the TCCs of this Lease, are hereinafter collectively referred to as the “</w:t>
      </w:r>
      <w:r>
        <w:rPr>
          <w:rFonts w:ascii="Times New Roman" w:cs="Times New Roman" w:eastAsia="Times New Roman" w:hAnsi="Times New Roman"/>
          <w:sz w:val="20"/>
          <w:szCs w:val="20"/>
          <w:b w:val="1"/>
          <w:bCs w:val="1"/>
          <w:color w:val="auto"/>
        </w:rPr>
        <w:t>Additional Rent</w:t>
      </w:r>
      <w:r>
        <w:rPr>
          <w:rFonts w:ascii="Times New Roman" w:cs="Times New Roman" w:eastAsia="Times New Roman" w:hAnsi="Times New Roman"/>
          <w:sz w:val="20"/>
          <w:szCs w:val="20"/>
          <w:color w:val="auto"/>
        </w:rPr>
        <w:t>”, and the Base Rent and the Additional Rent are herein collectively referred to as “</w:t>
      </w:r>
      <w:r>
        <w:rPr>
          <w:rFonts w:ascii="Times New Roman" w:cs="Times New Roman" w:eastAsia="Times New Roman" w:hAnsi="Times New Roman"/>
          <w:sz w:val="20"/>
          <w:szCs w:val="20"/>
          <w:b w:val="1"/>
          <w:bCs w:val="1"/>
          <w:color w:val="auto"/>
        </w:rPr>
        <w:t>Rent</w:t>
      </w:r>
      <w:r>
        <w:rPr>
          <w:rFonts w:ascii="Times New Roman" w:cs="Times New Roman" w:eastAsia="Times New Roman" w:hAnsi="Times New Roman"/>
          <w:sz w:val="20"/>
          <w:szCs w:val="20"/>
          <w:color w:val="auto"/>
        </w:rPr>
        <w:t xml:space="preserve">”. All amounts due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as Additional Rent shall be payable for the same periods and in the same manner as the Base Rent. Without limitation on other obligations of Tenant which survive the expiration (or sooner termination) of the Lease Term, but subject to limitations in this Lease, the obligations of Tenant to pay the Additional Rent provided for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shall survive the expiration (or sooner termination) of the Lease Term.</w:t>
      </w:r>
    </w:p>
    <w:p>
      <w:pPr>
        <w:spacing w:after="0" w:line="182" w:lineRule="exact"/>
        <w:rPr>
          <w:sz w:val="20"/>
          <w:szCs w:val="20"/>
          <w:color w:val="auto"/>
        </w:rPr>
      </w:pPr>
    </w:p>
    <w:p>
      <w:pPr>
        <w:jc w:val="both"/>
        <w:ind w:firstLine="832"/>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Definition of Key Terms Relating to Additional 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used in this Article 4, the following terms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meanings hereinafter set forth:</w:t>
      </w:r>
    </w:p>
    <w:p>
      <w:pPr>
        <w:spacing w:after="0" w:line="152" w:lineRule="exact"/>
        <w:rPr>
          <w:sz w:val="20"/>
          <w:szCs w:val="20"/>
          <w:color w:val="auto"/>
        </w:rPr>
      </w:pPr>
    </w:p>
    <w:p>
      <w:pPr>
        <w:ind w:left="1680"/>
        <w:spacing w:after="0"/>
        <w:tabs>
          <w:tab w:leader="none" w:pos="2760" w:val="left"/>
        </w:tabs>
        <w:rPr>
          <w:sz w:val="20"/>
          <w:szCs w:val="20"/>
          <w:color w:val="auto"/>
        </w:rPr>
      </w:pPr>
      <w:r>
        <w:rPr>
          <w:rFonts w:ascii="Times New Roman" w:cs="Times New Roman" w:eastAsia="Times New Roman" w:hAnsi="Times New Roman"/>
          <w:sz w:val="20"/>
          <w:szCs w:val="20"/>
          <w:b w:val="1"/>
          <w:bCs w:val="1"/>
          <w:color w:val="auto"/>
        </w:rPr>
        <w:t>4.2.1.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 Expenses</w:t>
      </w:r>
      <w:r>
        <w:rPr>
          <w:rFonts w:ascii="Times New Roman" w:cs="Times New Roman" w:eastAsia="Times New Roman" w:hAnsi="Times New Roman"/>
          <w:sz w:val="20"/>
          <w:szCs w:val="20"/>
          <w:color w:val="auto"/>
        </w:rPr>
        <w:t>” means “Operating Expenses” and “Tax Expenses”.</w:t>
      </w:r>
    </w:p>
    <w:p>
      <w:pPr>
        <w:spacing w:after="0" w:line="216" w:lineRule="exact"/>
        <w:rPr>
          <w:sz w:val="20"/>
          <w:szCs w:val="20"/>
          <w:color w:val="auto"/>
        </w:rPr>
      </w:pPr>
    </w:p>
    <w:p>
      <w:pPr>
        <w:jc w:val="both"/>
        <w:ind w:firstLine="166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4.2.2.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Expense Year</w:t>
      </w:r>
      <w:r>
        <w:rPr>
          <w:rFonts w:ascii="Times New Roman" w:cs="Times New Roman" w:eastAsia="Times New Roman" w:hAnsi="Times New Roman"/>
          <w:sz w:val="20"/>
          <w:szCs w:val="20"/>
          <w:color w:val="auto"/>
        </w:rPr>
        <w:t>” means each calendar year in which any portion of the Lease Term falls, through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the calendar year in which the Lease Term expires, provided that Landlord, upon notice to Tenant, may change the Expense Year from time to time to any other twelve (12) consecutive-month period, and, in the event of any such change, Tenant’s Share of Direct Expenses shall be equitably adjusted for any Expense Year involved in any such change.</w:t>
      </w:r>
    </w:p>
    <w:p>
      <w:pPr>
        <w:spacing w:after="0" w:line="176" w:lineRule="exact"/>
        <w:rPr>
          <w:sz w:val="20"/>
          <w:szCs w:val="20"/>
          <w:color w:val="auto"/>
        </w:rPr>
      </w:pPr>
    </w:p>
    <w:p>
      <w:pPr>
        <w:jc w:val="both"/>
        <w:ind w:firstLine="1663"/>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4.2.3.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Operating Expenses</w:t>
      </w:r>
      <w:r>
        <w:rPr>
          <w:rFonts w:ascii="Times New Roman" w:cs="Times New Roman" w:eastAsia="Times New Roman" w:hAnsi="Times New Roman"/>
          <w:sz w:val="19"/>
          <w:szCs w:val="19"/>
          <w:color w:val="auto"/>
        </w:rPr>
        <w:t>” means all expenses, costs and amounts of every kind and nature which Landlord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pays or accrues during any Expense Year because of or in connection with the ownership, management, maintenance, security, repair, replacement, renovation, restoration or operation of the Project, or any portion thereof, in accordance with sound real estate management and accounting principles, consistently applied. Without limiting the generality of the foregoing, Operating Expenses shall specifically include any and all of the following: (i) the cost of supplying all utilities to the Project (including all Common Areas but excluding tenants’ premises in the Building to the extent that the cost of which is charged directly to such tenants), and the cost of operating, repairing, maintaining, managing, restoring, and renovating the utility, telephone, HVAC, mechanical, plumbing, sanitary, storm drainage, and any other systems of the Building or Project, and the cost of supplies and equipment and maintenance and service contracts in connection therewith; (ii) the cost of licenses, certificates, permits and inspections and the cost of contesting any governmental enactments which may affect Operating Expenses, and the costs incurred in connection with the implementation and operation a governmentally-mandated transportation system management program or similar program; (iii) the cost of all insurance carried by Landlord in connection with the Project (including any deductibles); (iv) the cost of landscaping, relamping, and all supplies, tools, equipment and materials used in the operation, repair and maintenance of the Project, or any portion thereof; (v) costs incurred in connection with the repair, restoration, and maintenance of the parking areas servicing the Project, including, but not limited to, the resurfacing, repainting, restriping, and cleaning thereof; (vi) fees and other costs (including management and consulting fees and costs) of all contractors and consultants in connection with the management, operation, maintenance, replacement, renovation, restoration and repair of the Project; (vii) payments under any equipment rental agreements and/or management agreements relating to the operation of the Project (including the cost of any management fee and the fair rental value of any management office space provided thereunder); (viii) wages, salaries and other compensation and benefits, including taxes levied thereon, of all persons (other than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14" w:name="page415"/>
    <w:bookmarkEnd w:id="414"/>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persons generally considered to be higher in rank than the position of Project manager) engaged in the operation, maintenance and security of the Project; (ix) costs and payments under any easement, license, operating agreement, declaration, restrictive covenant, underlying or ground lease (excluding rent), or any other instrument pertaining to the sharing of costs by the Project including, without limitation, assessments made on or with respect to the Project pursuant to any CC&amp;Rs, Public Utility District conditions, Local Improvement District conditions and/or owner’s associations affecting the Project, or any portion thereof; (x) intentionally deleted; (xi) the cost of janitorial, alarm, security and other services, replacement of wall and floor coverings, ceiling tiles and fixtures in Common Areas, maintenance and replacement of curbs and walkways, repair to roofs and re-roofing; repairs and replacements of the HVAC (as defined in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xml:space="preserve">, hereof) systems; (xii) amortization of the cost of acquiring or the rental expense of personal property used in the maintenance, operation and repair of the Project, or any portion thereof (which amortization calculation shall include interest at the “Interest Rate,” as that term is set forth in </w:t>
      </w:r>
      <w:r>
        <w:rPr>
          <w:rFonts w:ascii="Times New Roman" w:cs="Times New Roman" w:eastAsia="Times New Roman" w:hAnsi="Times New Roman"/>
          <w:sz w:val="19"/>
          <w:szCs w:val="19"/>
          <w:u w:val="single" w:color="auto"/>
          <w:color w:val="auto"/>
        </w:rPr>
        <w:t>Article 25</w:t>
      </w:r>
      <w:r>
        <w:rPr>
          <w:rFonts w:ascii="Times New Roman" w:cs="Times New Roman" w:eastAsia="Times New Roman" w:hAnsi="Times New Roman"/>
          <w:sz w:val="19"/>
          <w:szCs w:val="19"/>
          <w:color w:val="auto"/>
        </w:rPr>
        <w:t xml:space="preserve"> of this Lease); (xiii) the cost of capital improvements or other costs incurred in connection with the Project (A) which are intended to effect economies in the operation or maintenance of the Project, or any portion thereof, (B) that are required to comply with present or anticipated conservation programs, (C) which are replacements or modifications of nonstructural items located in the Common Areas required to keep the Common Areas in good order or condition, (D) that are required under any governmental law or regulation by a federal, state or local governmental agency, except for capital repairs, replacements or other improvements to remedy a condition existing prior to the Lease Commencement Date which an applicable governmental authority, if it had knowledge of such condition prior to the Lease Commencement Date, would have then required to be remedied pursuant to then-current governmental laws or regulations in their form existing as of the Lease Commencement Date and pursuant to the then-current interpretation of such governmental laws or regulations by the applicable governmental authority as of the Lease Commencement Date, or (E) which are required in order for the Project, or any portion thereof, to obtain or maintain a certification under the U.S. Green Building Council’s Leadership in Energy and Environmental Design (“</w:t>
      </w:r>
      <w:r>
        <w:rPr>
          <w:rFonts w:ascii="Times New Roman" w:cs="Times New Roman" w:eastAsia="Times New Roman" w:hAnsi="Times New Roman"/>
          <w:sz w:val="19"/>
          <w:szCs w:val="19"/>
          <w:b w:val="1"/>
          <w:bCs w:val="1"/>
          <w:color w:val="auto"/>
        </w:rPr>
        <w:t>LEED</w:t>
      </w:r>
      <w:r>
        <w:rPr>
          <w:rFonts w:ascii="Times New Roman" w:cs="Times New Roman" w:eastAsia="Times New Roman" w:hAnsi="Times New Roman"/>
          <w:sz w:val="19"/>
          <w:szCs w:val="19"/>
          <w:color w:val="auto"/>
        </w:rPr>
        <w:t xml:space="preserve">”), or other applicable certification agency in connection with Landlord’s sustainability practices for the Project (as such sustainability practices are to be determined by Landlord, in its reasonable discretion, from time to time) or (F) that relate to the safety or security of the Project; provided, however, that any capital expenditure shall be amortized with interest at the Interest Rate over the its useful life as Landlord shall reasonably determine in accordance with sound real estate management and generally accepted accounting principles consistently applied;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Times New Roman" w:cs="Times New Roman" w:eastAsia="Times New Roman" w:hAnsi="Times New Roman"/>
          <w:sz w:val="19"/>
          <w:szCs w:val="19"/>
          <w:u w:val="single" w:color="auto"/>
          <w:color w:val="auto"/>
        </w:rPr>
        <w:t>Section 4.2.5</w:t>
      </w:r>
      <w:r>
        <w:rPr>
          <w:rFonts w:ascii="Times New Roman" w:cs="Times New Roman" w:eastAsia="Times New Roman" w:hAnsi="Times New Roman"/>
          <w:sz w:val="19"/>
          <w:szCs w:val="19"/>
          <w:color w:val="auto"/>
        </w:rPr>
        <w:t>, below; and (xv) costs of any additional services not provided to the Building and/or the Project as of the Lease Commencement Date but which are thereafter provided by Landlord in connection with its prudent management of the Building and/or the Project. Notwithstanding the foregoing, for purposes of this Lease, Operating Expenses shall not, however, include:</w:t>
      </w:r>
    </w:p>
    <w:p>
      <w:pPr>
        <w:spacing w:after="0" w:line="200" w:lineRule="exact"/>
        <w:rPr>
          <w:sz w:val="20"/>
          <w:szCs w:val="20"/>
          <w:color w:val="auto"/>
        </w:rPr>
      </w:pPr>
    </w:p>
    <w:p>
      <w:pPr>
        <w:spacing w:after="0" w:line="224" w:lineRule="exact"/>
        <w:rPr>
          <w:sz w:val="20"/>
          <w:szCs w:val="20"/>
          <w:color w:val="auto"/>
        </w:rPr>
      </w:pPr>
    </w:p>
    <w:p>
      <w:pPr>
        <w:jc w:val="both"/>
        <w:ind w:firstLine="2504"/>
        <w:spacing w:after="0" w:line="245" w:lineRule="auto"/>
        <w:tabs>
          <w:tab w:leader="none" w:pos="3363"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(including marketing costs,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5" w:name="page416"/>
    <w:bookmarkEnd w:id="415"/>
    <w:p>
      <w:pPr>
        <w:ind w:left="3380" w:hanging="876"/>
        <w:spacing w:after="0"/>
        <w:tabs>
          <w:tab w:leader="none" w:pos="338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items (xii) and (xiii) above, depreciation; interest and principal payments 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mortgages and other debt costs, if any; late charges; penalties; liquidated damages; and past due interest;</w:t>
      </w:r>
    </w:p>
    <w:p>
      <w:pPr>
        <w:spacing w:after="0" w:line="193" w:lineRule="exact"/>
        <w:rPr>
          <w:rFonts w:ascii="Times New Roman" w:cs="Times New Roman" w:eastAsia="Times New Roman" w:hAnsi="Times New Roman"/>
          <w:sz w:val="20"/>
          <w:szCs w:val="20"/>
          <w:color w:val="auto"/>
        </w:rPr>
      </w:pPr>
    </w:p>
    <w:p>
      <w:pPr>
        <w:jc w:val="both"/>
        <w:ind w:firstLine="2504"/>
        <w:spacing w:after="0" w:line="254" w:lineRule="auto"/>
        <w:tabs>
          <w:tab w:leader="none" w:pos="336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for which the Landlord is reimbursed by Tenant or any other tenant or occupant of the Project or by insurance by its carrier or any tenant’s carrier or by anyone else (except to the extent of deductibles), and electric power or other utility costs for which any tenant directly contracts with the local public service or utility company;</w:t>
      </w:r>
    </w:p>
    <w:p>
      <w:pPr>
        <w:spacing w:after="0" w:line="174" w:lineRule="exact"/>
        <w:rPr>
          <w:rFonts w:ascii="Times New Roman" w:cs="Times New Roman" w:eastAsia="Times New Roman" w:hAnsi="Times New Roman"/>
          <w:sz w:val="20"/>
          <w:szCs w:val="20"/>
          <w:color w:val="auto"/>
        </w:rPr>
      </w:pPr>
    </w:p>
    <w:p>
      <w:pPr>
        <w:ind w:left="3380" w:hanging="876"/>
        <w:spacing w:after="0"/>
        <w:tabs>
          <w:tab w:leader="none" w:pos="338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bad debt loss, rent loss, or reserves for bad debts or rent loss;</w:t>
      </w:r>
    </w:p>
    <w:p>
      <w:pPr>
        <w:spacing w:after="0" w:line="215" w:lineRule="exact"/>
        <w:rPr>
          <w:rFonts w:ascii="Times New Roman" w:cs="Times New Roman" w:eastAsia="Times New Roman" w:hAnsi="Times New Roman"/>
          <w:sz w:val="20"/>
          <w:szCs w:val="20"/>
          <w:color w:val="auto"/>
        </w:rPr>
      </w:pPr>
    </w:p>
    <w:p>
      <w:pPr>
        <w:jc w:val="both"/>
        <w:ind w:firstLine="2504"/>
        <w:spacing w:after="0" w:line="243" w:lineRule="auto"/>
        <w:tabs>
          <w:tab w:leader="none" w:pos="3363"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and Landlord’s general corporate overhead and general and administrative expenses;</w:t>
      </w:r>
    </w:p>
    <w:p>
      <w:pPr>
        <w:spacing w:after="0" w:line="189" w:lineRule="exact"/>
        <w:rPr>
          <w:rFonts w:ascii="Times New Roman" w:cs="Times New Roman" w:eastAsia="Times New Roman" w:hAnsi="Times New Roman"/>
          <w:sz w:val="20"/>
          <w:szCs w:val="20"/>
          <w:color w:val="auto"/>
        </w:rPr>
      </w:pPr>
    </w:p>
    <w:p>
      <w:pPr>
        <w:jc w:val="both"/>
        <w:ind w:firstLine="2504"/>
        <w:spacing w:after="0" w:line="249" w:lineRule="auto"/>
        <w:tabs>
          <w:tab w:leader="none" w:pos="3341"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179" w:lineRule="exact"/>
        <w:rPr>
          <w:rFonts w:ascii="Times New Roman" w:cs="Times New Roman" w:eastAsia="Times New Roman" w:hAnsi="Times New Roman"/>
          <w:sz w:val="20"/>
          <w:szCs w:val="20"/>
          <w:color w:val="auto"/>
        </w:rPr>
      </w:pPr>
    </w:p>
    <w:p>
      <w:pPr>
        <w:ind w:left="3380" w:hanging="876"/>
        <w:spacing w:after="0"/>
        <w:tabs>
          <w:tab w:leader="none" w:pos="338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paid as ground rental for the Project by the Landlord;</w:t>
      </w:r>
    </w:p>
    <w:p>
      <w:pPr>
        <w:spacing w:after="0" w:line="215" w:lineRule="exact"/>
        <w:rPr>
          <w:rFonts w:ascii="Times New Roman" w:cs="Times New Roman" w:eastAsia="Times New Roman" w:hAnsi="Times New Roman"/>
          <w:sz w:val="20"/>
          <w:szCs w:val="20"/>
          <w:color w:val="auto"/>
        </w:rPr>
      </w:pPr>
    </w:p>
    <w:p>
      <w:pPr>
        <w:jc w:val="both"/>
        <w:ind w:firstLine="2504"/>
        <w:spacing w:after="0" w:line="254" w:lineRule="auto"/>
        <w:tabs>
          <w:tab w:leader="none" w:pos="3374"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174" w:lineRule="exact"/>
        <w:rPr>
          <w:rFonts w:ascii="Times New Roman" w:cs="Times New Roman" w:eastAsia="Times New Roman" w:hAnsi="Times New Roman"/>
          <w:sz w:val="20"/>
          <w:szCs w:val="20"/>
          <w:color w:val="auto"/>
        </w:rPr>
      </w:pPr>
    </w:p>
    <w:p>
      <w:pPr>
        <w:ind w:right="20" w:firstLine="2504"/>
        <w:spacing w:after="0" w:line="269" w:lineRule="auto"/>
        <w:tabs>
          <w:tab w:leader="none" w:pos="333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59" w:lineRule="exact"/>
        <w:rPr>
          <w:rFonts w:ascii="Times New Roman" w:cs="Times New Roman" w:eastAsia="Times New Roman" w:hAnsi="Times New Roman"/>
          <w:sz w:val="20"/>
          <w:szCs w:val="20"/>
          <w:color w:val="auto"/>
        </w:rPr>
      </w:pPr>
    </w:p>
    <w:p>
      <w:pPr>
        <w:jc w:val="both"/>
        <w:ind w:firstLine="2504"/>
        <w:spacing w:after="0" w:line="249" w:lineRule="auto"/>
        <w:tabs>
          <w:tab w:leader="none" w:pos="333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rentals and other related expenses incurred in leasing HVAC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spacing w:after="0" w:line="179" w:lineRule="exact"/>
        <w:rPr>
          <w:rFonts w:ascii="Times New Roman" w:cs="Times New Roman" w:eastAsia="Times New Roman" w:hAnsi="Times New Roman"/>
          <w:sz w:val="20"/>
          <w:szCs w:val="20"/>
          <w:color w:val="auto"/>
        </w:rPr>
      </w:pPr>
    </w:p>
    <w:p>
      <w:pPr>
        <w:ind w:left="3380" w:hanging="876"/>
        <w:spacing w:after="0"/>
        <w:tabs>
          <w:tab w:leader="none" w:pos="338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items and services for which Tenant or any other tenant in the Project reimburses Landlord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Landlord provides selectively to one or more tenants (other than Tenant) without reimbursement;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6" w:name="page417"/>
    <w:bookmarkEnd w:id="416"/>
    <w:p>
      <w:pPr>
        <w:ind w:left="3340" w:hanging="836"/>
        <w:spacing w:after="0"/>
        <w:tabs>
          <w:tab w:leader="none" w:pos="334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other than those incurred in ordinary maintenance and repair, for sculpture, paintings,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fountains or other objects of art;</w:t>
      </w:r>
    </w:p>
    <w:p>
      <w:pPr>
        <w:spacing w:after="0" w:line="193" w:lineRule="exact"/>
        <w:rPr>
          <w:rFonts w:ascii="Times New Roman" w:cs="Times New Roman" w:eastAsia="Times New Roman" w:hAnsi="Times New Roman"/>
          <w:sz w:val="20"/>
          <w:szCs w:val="20"/>
          <w:color w:val="auto"/>
        </w:rPr>
      </w:pPr>
    </w:p>
    <w:p>
      <w:pPr>
        <w:ind w:left="3440" w:hanging="936"/>
        <w:spacing w:after="0"/>
        <w:tabs>
          <w:tab w:leader="none" w:pos="344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expressly excluded from Operating Expenses elsewhere in this Lease;</w:t>
      </w:r>
    </w:p>
    <w:p>
      <w:pPr>
        <w:spacing w:after="0" w:line="215" w:lineRule="exact"/>
        <w:rPr>
          <w:rFonts w:ascii="Times New Roman" w:cs="Times New Roman" w:eastAsia="Times New Roman" w:hAnsi="Times New Roman"/>
          <w:sz w:val="20"/>
          <w:szCs w:val="20"/>
          <w:color w:val="auto"/>
        </w:rPr>
      </w:pPr>
    </w:p>
    <w:p>
      <w:pPr>
        <w:jc w:val="both"/>
        <w:ind w:firstLine="2504"/>
        <w:spacing w:after="0" w:line="254" w:lineRule="auto"/>
        <w:tabs>
          <w:tab w:leader="none" w:pos="3374"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pacing w:after="0" w:line="174" w:lineRule="exact"/>
        <w:rPr>
          <w:rFonts w:ascii="Times New Roman" w:cs="Times New Roman" w:eastAsia="Times New Roman" w:hAnsi="Times New Roman"/>
          <w:sz w:val="20"/>
          <w:szCs w:val="20"/>
          <w:color w:val="auto"/>
        </w:rPr>
      </w:pPr>
    </w:p>
    <w:p>
      <w:pPr>
        <w:ind w:firstLine="2504"/>
        <w:spacing w:after="0" w:line="269" w:lineRule="auto"/>
        <w:tabs>
          <w:tab w:leader="none" w:pos="3374"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arising from the gross negligence or willful misconduct of Landlord or its agents, employees, vendors, contractors, or providers of materials or services;</w:t>
      </w:r>
    </w:p>
    <w:p>
      <w:pPr>
        <w:spacing w:after="0" w:line="159" w:lineRule="exact"/>
        <w:rPr>
          <w:rFonts w:ascii="Times New Roman" w:cs="Times New Roman" w:eastAsia="Times New Roman" w:hAnsi="Times New Roman"/>
          <w:sz w:val="20"/>
          <w:szCs w:val="20"/>
          <w:color w:val="auto"/>
        </w:rPr>
      </w:pPr>
    </w:p>
    <w:p>
      <w:pPr>
        <w:jc w:val="both"/>
        <w:ind w:firstLine="2504"/>
        <w:spacing w:after="0" w:line="243" w:lineRule="auto"/>
        <w:tabs>
          <w:tab w:leader="none" w:pos="3374"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incurred to comply with laws relating to the removal of Hazardous Materials (as defined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of this Lease) which was in existence in the Building or on the Project prior to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have then required the removal of such Hazardous Material or other remedial or containment action with respect thereto;</w:t>
      </w:r>
    </w:p>
    <w:p>
      <w:pPr>
        <w:spacing w:after="0" w:line="185" w:lineRule="exact"/>
        <w:rPr>
          <w:rFonts w:ascii="Times New Roman" w:cs="Times New Roman" w:eastAsia="Times New Roman" w:hAnsi="Times New Roman"/>
          <w:sz w:val="20"/>
          <w:szCs w:val="20"/>
          <w:color w:val="auto"/>
        </w:rPr>
      </w:pPr>
    </w:p>
    <w:p>
      <w:pPr>
        <w:ind w:left="3380" w:hanging="876"/>
        <w:spacing w:after="0"/>
        <w:tabs>
          <w:tab w:leader="none" w:pos="338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arising from Landlord’s charitable or political contributions;</w:t>
      </w:r>
    </w:p>
    <w:p>
      <w:pPr>
        <w:spacing w:after="0" w:line="215" w:lineRule="exact"/>
        <w:rPr>
          <w:rFonts w:ascii="Times New Roman" w:cs="Times New Roman" w:eastAsia="Times New Roman" w:hAnsi="Times New Roman"/>
          <w:sz w:val="20"/>
          <w:szCs w:val="20"/>
          <w:color w:val="auto"/>
        </w:rPr>
      </w:pPr>
    </w:p>
    <w:p>
      <w:pPr>
        <w:ind w:right="20" w:firstLine="2504"/>
        <w:spacing w:after="0" w:line="269" w:lineRule="auto"/>
        <w:tabs>
          <w:tab w:leader="none" w:pos="3341"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fees and costs, settlements, judgments or awards paid or incurred because of disputes between Landlord and other tenants of the Project; or</w:t>
      </w:r>
    </w:p>
    <w:p>
      <w:pPr>
        <w:spacing w:after="0" w:line="159" w:lineRule="exact"/>
        <w:rPr>
          <w:rFonts w:ascii="Times New Roman" w:cs="Times New Roman" w:eastAsia="Times New Roman" w:hAnsi="Times New Roman"/>
          <w:sz w:val="20"/>
          <w:szCs w:val="20"/>
          <w:color w:val="auto"/>
        </w:rPr>
      </w:pPr>
    </w:p>
    <w:p>
      <w:pPr>
        <w:ind w:firstLine="2504"/>
        <w:spacing w:after="0" w:line="269" w:lineRule="auto"/>
        <w:tabs>
          <w:tab w:leader="none" w:pos="3352"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improvements to maintain, repair, and replace design, structural, or latent defects or elements in the Building or Project (including slab, foundation, exterior/load-bearing walls).</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the Project is not at least ninety-five percent (95%) occupied during all or a portion of any Expense Year, Landlord may elect to make an appropriate adjustment to the components of Operating Expenses for such year to determine the amount of Operating Expenses that would have been incurred had the Project been ninety-five percent (95%) occupied; and the amount so determined shall be deemed to have been the amount of Operating Expenses for such year. Landlord shall not (i) make a profit by charging items to Operating Expenses that are otherwise also charged separately to others and (ii) subject to Landlord’s right to adjust the components of Operating Expenses described above in this paragraph, collect Operating Expenses from Tenant and all other tenants in the Building in an amount in excess of what Landlord incurs for the items included in Operating Expenses.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7" w:name="page418"/>
    <w:bookmarkEnd w:id="417"/>
    <w:p>
      <w:pPr>
        <w:ind w:left="1680"/>
        <w:spacing w:after="0"/>
        <w:tabs>
          <w:tab w:leader="none" w:pos="2740" w:val="left"/>
        </w:tabs>
        <w:rPr>
          <w:sz w:val="20"/>
          <w:szCs w:val="20"/>
          <w:color w:val="auto"/>
        </w:rPr>
      </w:pPr>
      <w:r>
        <w:rPr>
          <w:rFonts w:ascii="Times New Roman" w:cs="Times New Roman" w:eastAsia="Times New Roman" w:hAnsi="Times New Roman"/>
          <w:sz w:val="20"/>
          <w:szCs w:val="20"/>
          <w:b w:val="1"/>
          <w:bCs w:val="1"/>
          <w:color w:val="auto"/>
        </w:rPr>
        <w:t>4.2.4.</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257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4.2.4.1.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Expenses</w:t>
      </w:r>
      <w:r>
        <w:rPr>
          <w:rFonts w:ascii="Times New Roman" w:cs="Times New Roman" w:eastAsia="Times New Roman" w:hAnsi="Times New Roman"/>
          <w:sz w:val="20"/>
          <w:szCs w:val="20"/>
          <w:color w:val="auto"/>
        </w:rPr>
        <w:t>” means all federal, state, county, or local governmental or municipal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and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182" w:lineRule="exact"/>
        <w:rPr>
          <w:sz w:val="20"/>
          <w:szCs w:val="20"/>
          <w:color w:val="auto"/>
        </w:rPr>
      </w:pPr>
    </w:p>
    <w:p>
      <w:pPr>
        <w:jc w:val="both"/>
        <w:ind w:firstLine="257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4.2.4.2. </w:t>
      </w:r>
      <w:r>
        <w:rPr>
          <w:rFonts w:ascii="Times New Roman" w:cs="Times New Roman" w:eastAsia="Times New Roman" w:hAnsi="Times New Roman"/>
          <w:sz w:val="20"/>
          <w:szCs w:val="20"/>
          <w:color w:val="auto"/>
        </w:rPr>
        <w:t>Tax Expenses includes, without limitation: (i) Any tax on the rent, right to rent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(excluding Landlord’s general income tax); and (iv) Any assessment, tax, fee, levy or charge, upon any document to which Tenant is a party, creating or transferring an interest or an estate in the Premises.</w:t>
      </w:r>
    </w:p>
    <w:p>
      <w:pPr>
        <w:spacing w:after="0" w:line="190" w:lineRule="exact"/>
        <w:rPr>
          <w:sz w:val="20"/>
          <w:szCs w:val="20"/>
          <w:color w:val="auto"/>
        </w:rPr>
      </w:pPr>
    </w:p>
    <w:p>
      <w:pPr>
        <w:jc w:val="both"/>
        <w:ind w:firstLine="257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4.2.4.3. </w:t>
      </w:r>
      <w:r>
        <w:rPr>
          <w:rFonts w:ascii="Times New Roman" w:cs="Times New Roman" w:eastAsia="Times New Roman" w:hAnsi="Times New Roman"/>
          <w:sz w:val="20"/>
          <w:szCs w:val="20"/>
          <w:color w:val="auto"/>
        </w:rPr>
        <w:t>Any costs and expenses (including, without limitation, reasonable attorneys’ fees)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attempting to protest, reduce or minimize Tax Expenses shall be included in Tax Expenses in the Expense Year such expenses are paid Except as set forth in </w:t>
      </w:r>
      <w:r>
        <w:rPr>
          <w:rFonts w:ascii="Times New Roman" w:cs="Times New Roman" w:eastAsia="Times New Roman" w:hAnsi="Times New Roman"/>
          <w:sz w:val="20"/>
          <w:szCs w:val="20"/>
          <w:u w:val="single" w:color="auto"/>
          <w:color w:val="auto"/>
        </w:rPr>
        <w:t>Section 4.2.5.4</w:t>
      </w:r>
      <w:r>
        <w:rPr>
          <w:rFonts w:ascii="Times New Roman" w:cs="Times New Roman" w:eastAsia="Times New Roman" w:hAnsi="Times New Roman"/>
          <w:sz w:val="20"/>
          <w:szCs w:val="20"/>
          <w:color w:val="auto"/>
        </w:rPr>
        <w:t xml:space="preserve"> below,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included by Landlord as Building Tax Expenses pursuant to the TCCs of this Lease. Notwithstanding anything to the contrary contained in this </w:t>
      </w:r>
      <w:r>
        <w:rPr>
          <w:rFonts w:ascii="Times New Roman" w:cs="Times New Roman" w:eastAsia="Times New Roman" w:hAnsi="Times New Roman"/>
          <w:sz w:val="20"/>
          <w:szCs w:val="20"/>
          <w:u w:val="single" w:color="auto"/>
          <w:color w:val="auto"/>
        </w:rPr>
        <w:t>Section 4.2.5</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Section 4.2.5.1</w:t>
      </w:r>
      <w:r>
        <w:rPr>
          <w:rFonts w:ascii="Times New Roman" w:cs="Times New Roman" w:eastAsia="Times New Roman" w:hAnsi="Times New Roman"/>
          <w:sz w:val="20"/>
          <w:szCs w:val="20"/>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and (iii) any items paid by Tenant under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of this Lease.</w:t>
      </w:r>
    </w:p>
    <w:p>
      <w:pPr>
        <w:spacing w:after="0" w:line="185" w:lineRule="exact"/>
        <w:rPr>
          <w:sz w:val="20"/>
          <w:szCs w:val="20"/>
          <w:color w:val="auto"/>
        </w:rPr>
      </w:pPr>
    </w:p>
    <w:p>
      <w:pPr>
        <w:ind w:left="1680"/>
        <w:spacing w:after="0"/>
        <w:tabs>
          <w:tab w:leader="none" w:pos="2760" w:val="left"/>
        </w:tabs>
        <w:rPr>
          <w:sz w:val="20"/>
          <w:szCs w:val="20"/>
          <w:color w:val="auto"/>
        </w:rPr>
      </w:pPr>
      <w:r>
        <w:rPr>
          <w:rFonts w:ascii="Times New Roman" w:cs="Times New Roman" w:eastAsia="Times New Roman" w:hAnsi="Times New Roman"/>
          <w:sz w:val="20"/>
          <w:szCs w:val="20"/>
          <w:b w:val="1"/>
          <w:bCs w:val="1"/>
          <w:color w:val="auto"/>
        </w:rPr>
        <w:t>4.2.5.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Tenant’s Share</w:t>
      </w:r>
      <w:r>
        <w:rPr>
          <w:rFonts w:ascii="Times New Roman" w:cs="Times New Roman" w:eastAsia="Times New Roman" w:hAnsi="Times New Roman"/>
          <w:sz w:val="19"/>
          <w:szCs w:val="19"/>
          <w:color w:val="auto"/>
        </w:rPr>
        <w:t xml:space="preserve">” means the percentage set forth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of the Summary.</w:t>
      </w:r>
    </w:p>
    <w:p>
      <w:pPr>
        <w:spacing w:after="0" w:line="216"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Cost Pools/Utilities Expenses</w:t>
      </w:r>
      <w:r>
        <w:rPr>
          <w:rFonts w:ascii="Times New Roman" w:cs="Times New Roman" w:eastAsia="Times New Roman" w:hAnsi="Times New Roman"/>
          <w:sz w:val="20"/>
          <w:szCs w:val="20"/>
          <w:color w:val="auto"/>
        </w:rPr>
        <w:t>Landlord shall have the right, from time to time, to equitably allocate some or all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 Expenses for the Project among different portions or occupants of the Project (the “</w:t>
      </w:r>
      <w:r>
        <w:rPr>
          <w:rFonts w:ascii="Times New Roman" w:cs="Times New Roman" w:eastAsia="Times New Roman" w:hAnsi="Times New Roman"/>
          <w:sz w:val="20"/>
          <w:szCs w:val="20"/>
          <w:b w:val="1"/>
          <w:bCs w:val="1"/>
          <w:color w:val="auto"/>
        </w:rPr>
        <w:t>Cost Pools</w:t>
      </w:r>
      <w:r>
        <w:rPr>
          <w:rFonts w:ascii="Times New Roman" w:cs="Times New Roman" w:eastAsia="Times New Roman" w:hAnsi="Times New Roman"/>
          <w:sz w:val="20"/>
          <w:szCs w:val="20"/>
          <w:color w:val="auto"/>
        </w:rPr>
        <w:t>”), in Landlord’s reasonable discretion. Such Cost Pools may include, but shall not be limited to, the office space tenants of the Project and the retail space tenants of the Project (if any). The Direct Expenses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18" w:name="page419"/>
    <w:bookmarkEnd w:id="418"/>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allocable to each such Cost Pool shall be allocated to such Cost Pool and charged to the tenants within such Cost Pool in an equitable manner. Landlord shall also have the right, from time to time, to equitably and in Landlord’s reasonable discretion, determine and treat all utility expenses as described in subsection (i) of </w:t>
      </w: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 xml:space="preserve"> above as a component of Direct Expenses separate and apart from (and, accordingly, excluded from) Operating Expenses, provided such determination and treatment is consistent with the determination and treatment of other Operating Expenses set forth in </w:t>
      </w: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 xml:space="preserve"> above.</w:t>
      </w:r>
    </w:p>
    <w:p>
      <w:pPr>
        <w:spacing w:after="0" w:line="181" w:lineRule="exact"/>
        <w:rPr>
          <w:sz w:val="20"/>
          <w:szCs w:val="20"/>
          <w:color w:val="auto"/>
        </w:rPr>
      </w:pPr>
    </w:p>
    <w:p>
      <w:pPr>
        <w:jc w:val="both"/>
        <w:ind w:firstLine="832"/>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4.4 </w:t>
      </w:r>
      <w:r>
        <w:rPr>
          <w:rFonts w:ascii="Times New Roman" w:cs="Times New Roman" w:eastAsia="Times New Roman" w:hAnsi="Times New Roman"/>
          <w:sz w:val="20"/>
          <w:szCs w:val="20"/>
          <w:b w:val="1"/>
          <w:bCs w:val="1"/>
          <w:u w:val="single" w:color="auto"/>
          <w:color w:val="auto"/>
        </w:rPr>
        <w:t>Calculation and Payment of Additional Rent</w:t>
      </w:r>
      <w:r>
        <w:rPr>
          <w:rFonts w:ascii="Times New Roman" w:cs="Times New Roman" w:eastAsia="Times New Roman" w:hAnsi="Times New Roman"/>
          <w:sz w:val="20"/>
          <w:szCs w:val="20"/>
          <w:color w:val="auto"/>
        </w:rPr>
        <w:t>For any Expense Year ending or commencing within the Lease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Tenant shall pay Tenant’s Share of Direct Expenses for such Expense Year in the manner set forth in </w:t>
      </w:r>
      <w:r>
        <w:rPr>
          <w:rFonts w:ascii="Times New Roman" w:cs="Times New Roman" w:eastAsia="Times New Roman" w:hAnsi="Times New Roman"/>
          <w:sz w:val="20"/>
          <w:szCs w:val="20"/>
          <w:u w:val="single" w:color="auto"/>
          <w:color w:val="auto"/>
        </w:rPr>
        <w:t>Section 4.4.1</w:t>
      </w:r>
      <w:r>
        <w:rPr>
          <w:rFonts w:ascii="Times New Roman" w:cs="Times New Roman" w:eastAsia="Times New Roman" w:hAnsi="Times New Roman"/>
          <w:sz w:val="20"/>
          <w:szCs w:val="20"/>
          <w:color w:val="auto"/>
        </w:rPr>
        <w:t xml:space="preserve"> below, and as Additional Rent.</w:t>
      </w:r>
    </w:p>
    <w:p>
      <w:pPr>
        <w:spacing w:after="0" w:line="200" w:lineRule="exact"/>
        <w:rPr>
          <w:sz w:val="20"/>
          <w:szCs w:val="20"/>
          <w:color w:val="auto"/>
        </w:rPr>
      </w:pPr>
    </w:p>
    <w:p>
      <w:pPr>
        <w:spacing w:after="0" w:line="204" w:lineRule="exact"/>
        <w:rPr>
          <w:sz w:val="20"/>
          <w:szCs w:val="20"/>
          <w:color w:val="auto"/>
        </w:rPr>
      </w:pPr>
    </w:p>
    <w:p>
      <w:pPr>
        <w:jc w:val="both"/>
        <w:ind w:firstLine="1663"/>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4.4.1. </w:t>
      </w:r>
      <w:r>
        <w:rPr>
          <w:rFonts w:ascii="Times New Roman" w:cs="Times New Roman" w:eastAsia="Times New Roman" w:hAnsi="Times New Roman"/>
          <w:sz w:val="19"/>
          <w:szCs w:val="19"/>
          <w:b w:val="1"/>
          <w:bCs w:val="1"/>
          <w:u w:val="single" w:color="auto"/>
          <w:color w:val="auto"/>
        </w:rPr>
        <w:t>Statement of Actual Direct Expenses and Payment by Tenant</w:t>
      </w:r>
      <w:r>
        <w:rPr>
          <w:rFonts w:ascii="Times New Roman" w:cs="Times New Roman" w:eastAsia="Times New Roman" w:hAnsi="Times New Roman"/>
          <w:sz w:val="19"/>
          <w:szCs w:val="19"/>
          <w:color w:val="auto"/>
        </w:rPr>
        <w:t>. Landlord shall give to Tenant following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end of each Expense Year, a statement (the “</w:t>
      </w:r>
      <w:r>
        <w:rPr>
          <w:rFonts w:ascii="Times New Roman" w:cs="Times New Roman" w:eastAsia="Times New Roman" w:hAnsi="Times New Roman"/>
          <w:sz w:val="19"/>
          <w:szCs w:val="19"/>
          <w:b w:val="1"/>
          <w:bCs w:val="1"/>
          <w:color w:val="auto"/>
        </w:rPr>
        <w:t>Statement</w:t>
      </w:r>
      <w:r>
        <w:rPr>
          <w:rFonts w:ascii="Times New Roman" w:cs="Times New Roman" w:eastAsia="Times New Roman" w:hAnsi="Times New Roman"/>
          <w:sz w:val="19"/>
          <w:szCs w:val="19"/>
          <w:color w:val="auto"/>
        </w:rPr>
        <w:t xml:space="preserve">”) which shall state in general major categories the Direct Expenses incurred or accrued for the preceding Expense Year and which shall indicate the amount of the Additional Rent due from Tenant. Landlord shall use commercially reasonable efforts to deliver such Statement to Tenant on or before May 1 following the end of the Expense Year to which such Statement relates. Upon receipt of the Statement for each Expense Year commencing or ending during the Lease Term, Tenant shall pay, within thirty (30) days after receipt of the Statement, the full amount of the Additional Rent due for such Expense Year, less the amounts, if any, paid during such Expense Year as “Estimated Expenses,” as that term is defined in </w:t>
      </w:r>
      <w:r>
        <w:rPr>
          <w:rFonts w:ascii="Times New Roman" w:cs="Times New Roman" w:eastAsia="Times New Roman" w:hAnsi="Times New Roman"/>
          <w:sz w:val="19"/>
          <w:szCs w:val="19"/>
          <w:u w:val="single" w:color="auto"/>
          <w:color w:val="auto"/>
        </w:rPr>
        <w:t>Section 4.4.2</w:t>
      </w:r>
      <w:r>
        <w:rPr>
          <w:rFonts w:ascii="Times New Roman" w:cs="Times New Roman" w:eastAsia="Times New Roman" w:hAnsi="Times New Roman"/>
          <w:sz w:val="19"/>
          <w:szCs w:val="19"/>
          <w:color w:val="auto"/>
        </w:rPr>
        <w:t xml:space="preserve">, below, and if Tenant paid more as Estimated Expenses than the actual Direct Expenses,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Even though the Lease Term has expired and Tenant has vacated the Premises, when the final determination is made of Tenant’s Share of Direct Expenses for the Expense Year in which this Lease terminates, if Additional Rent is due, Tenant shall, within thirty</w:t>
      </w:r>
    </w:p>
    <w:p>
      <w:pPr>
        <w:spacing w:after="0" w:line="7" w:lineRule="exact"/>
        <w:rPr>
          <w:sz w:val="20"/>
          <w:szCs w:val="20"/>
          <w:color w:val="auto"/>
        </w:rPr>
      </w:pPr>
    </w:p>
    <w:p>
      <w:pPr>
        <w:jc w:val="both"/>
        <w:ind w:firstLine="8"/>
        <w:spacing w:after="0" w:line="242" w:lineRule="auto"/>
        <w:tabs>
          <w:tab w:leader="none" w:pos="372"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receipt of the Statement, pay to Landlord such amount, and if Tenant paid more as Estimated Expenses than the actual Additional Rent due, Landlord shall, within thirty (30) days, deliver a check payable to Tenant in the amount of the overpayment. The provisions of this </w:t>
      </w:r>
      <w:r>
        <w:rPr>
          <w:rFonts w:ascii="Times New Roman" w:cs="Times New Roman" w:eastAsia="Times New Roman" w:hAnsi="Times New Roman"/>
          <w:sz w:val="20"/>
          <w:szCs w:val="20"/>
          <w:u w:val="single" w:color="auto"/>
          <w:color w:val="auto"/>
        </w:rPr>
        <w:t>Section 4.4.1</w:t>
      </w:r>
      <w:r>
        <w:rPr>
          <w:rFonts w:ascii="Times New Roman" w:cs="Times New Roman" w:eastAsia="Times New Roman" w:hAnsi="Times New Roman"/>
          <w:sz w:val="20"/>
          <w:szCs w:val="20"/>
          <w:color w:val="auto"/>
        </w:rPr>
        <w:t xml:space="preserve"> shall survive the expiration or earlier termination of the Lease Term for a period of one year.</w:t>
      </w:r>
    </w:p>
    <w:p>
      <w:pPr>
        <w:spacing w:after="0" w:line="183" w:lineRule="exact"/>
        <w:rPr>
          <w:sz w:val="20"/>
          <w:szCs w:val="20"/>
          <w:color w:val="auto"/>
        </w:rPr>
      </w:pPr>
    </w:p>
    <w:p>
      <w:pPr>
        <w:jc w:val="both"/>
        <w:ind w:firstLine="1663"/>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4.4.2. </w:t>
      </w:r>
      <w:r>
        <w:rPr>
          <w:rFonts w:ascii="Times New Roman" w:cs="Times New Roman" w:eastAsia="Times New Roman" w:hAnsi="Times New Roman"/>
          <w:sz w:val="20"/>
          <w:szCs w:val="20"/>
          <w:b w:val="1"/>
          <w:bCs w:val="1"/>
          <w:u w:val="single" w:color="auto"/>
          <w:color w:val="auto"/>
        </w:rPr>
        <w:t>Statement of Estimated Direct Expenses</w:t>
      </w:r>
      <w:r>
        <w:rPr>
          <w:rFonts w:ascii="Times New Roman" w:cs="Times New Roman" w:eastAsia="Times New Roman" w:hAnsi="Times New Roman"/>
          <w:sz w:val="20"/>
          <w:szCs w:val="20"/>
          <w:color w:val="auto"/>
        </w:rPr>
        <w:t>. In addition, Landlord shall give Tenant a yearly expense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estimate statement (the “</w:t>
      </w:r>
      <w:r>
        <w:rPr>
          <w:rFonts w:ascii="Times New Roman" w:cs="Times New Roman" w:eastAsia="Times New Roman" w:hAnsi="Times New Roman"/>
          <w:sz w:val="20"/>
          <w:szCs w:val="20"/>
          <w:b w:val="1"/>
          <w:bCs w:val="1"/>
          <w:color w:val="auto"/>
        </w:rPr>
        <w:t>Estimate Statement</w:t>
      </w:r>
      <w:r>
        <w:rPr>
          <w:rFonts w:ascii="Times New Roman" w:cs="Times New Roman" w:eastAsia="Times New Roman" w:hAnsi="Times New Roman"/>
          <w:sz w:val="20"/>
          <w:szCs w:val="20"/>
          <w:color w:val="auto"/>
        </w:rPr>
        <w:t>”) which shall set forth in general major categories Landlord’s reasonable estimate (the “</w:t>
      </w:r>
      <w:r>
        <w:rPr>
          <w:rFonts w:ascii="Times New Roman" w:cs="Times New Roman" w:eastAsia="Times New Roman" w:hAnsi="Times New Roman"/>
          <w:sz w:val="20"/>
          <w:szCs w:val="20"/>
          <w:b w:val="1"/>
          <w:bCs w:val="1"/>
          <w:color w:val="auto"/>
        </w:rPr>
        <w:t>Estimate</w:t>
      </w:r>
      <w:r>
        <w:rPr>
          <w:rFonts w:ascii="Times New Roman" w:cs="Times New Roman" w:eastAsia="Times New Roman" w:hAnsi="Times New Roman"/>
          <w:sz w:val="20"/>
          <w:szCs w:val="20"/>
          <w:color w:val="auto"/>
        </w:rPr>
        <w:t>”) of what the total amount of Direct Expenses for the then-current Expense Year shall be and the estimated amount (the “</w:t>
      </w:r>
      <w:r>
        <w:rPr>
          <w:rFonts w:ascii="Times New Roman" w:cs="Times New Roman" w:eastAsia="Times New Roman" w:hAnsi="Times New Roman"/>
          <w:sz w:val="20"/>
          <w:szCs w:val="20"/>
          <w:b w:val="1"/>
          <w:bCs w:val="1"/>
          <w:color w:val="auto"/>
        </w:rPr>
        <w:t>Estimated Expenses</w:t>
      </w:r>
      <w:r>
        <w:rPr>
          <w:rFonts w:ascii="Times New Roman" w:cs="Times New Roman" w:eastAsia="Times New Roman" w:hAnsi="Times New Roman"/>
          <w:sz w:val="20"/>
          <w:szCs w:val="20"/>
          <w:color w:val="auto"/>
        </w:rPr>
        <w:t xml:space="preserve">”) that will be due from Tenant for such Expense Year, which shall be based upon the Estimate. Landlord shall use commercially reasonable efforts to deliver such Estimate Statement to Tenant on or before May 1 of the Expense Year to which such Estimate Statement relates. The failure of Landlord to timely furnish the Estimate Statement for any Expense Year shall not preclude Landlord from enforcing its rights to collect any Additional Rent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nor shall Landlord be prohibited from revising any Estimate Statement or Estimated Expenses theretofore delivered to the extent necessary. Thereafter, Tenant shall pay, within thirty (30) days after receipt of the Estimate Statement, a fraction of the Estimated Expenses for the then-current Expense Year (reduced by any amounts paid pursuant to the second to last sentence of this </w:t>
      </w:r>
      <w:r>
        <w:rPr>
          <w:rFonts w:ascii="Times New Roman" w:cs="Times New Roman" w:eastAsia="Times New Roman" w:hAnsi="Times New Roman"/>
          <w:sz w:val="20"/>
          <w:szCs w:val="20"/>
          <w:u w:val="single" w:color="auto"/>
          <w:color w:val="auto"/>
        </w:rPr>
        <w:t>Section 4.4.2</w:t>
      </w:r>
      <w:r>
        <w:rPr>
          <w:rFonts w:ascii="Times New Roman" w:cs="Times New Roman" w:eastAsia="Times New Roman" w:hAnsi="Times New Roman"/>
          <w:sz w:val="20"/>
          <w:szCs w:val="20"/>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Expenses set forth in the previous Estimate Statement delivered by Landlord to Tenant. Throughout the Lease Term Landlord shall maintain books and records with respect to Direct Expenses in accordance with generally accepted real estate accounting and management practices, consistently applied.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9" w:name="page420"/>
    <w:bookmarkEnd w:id="419"/>
    <w:p>
      <w:pPr>
        <w:ind w:left="84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19"/>
          <w:szCs w:val="19"/>
          <w:b w:val="1"/>
          <w:bCs w:val="1"/>
          <w:u w:val="single" w:color="auto"/>
          <w:color w:val="auto"/>
        </w:rPr>
        <w:t>Taxes and Other Charges for Which Tenant Is Directly Responsible.</w:t>
      </w:r>
    </w:p>
    <w:p>
      <w:pPr>
        <w:spacing w:after="0" w:line="216" w:lineRule="exact"/>
        <w:rPr>
          <w:sz w:val="20"/>
          <w:szCs w:val="20"/>
          <w:color w:val="auto"/>
        </w:rPr>
      </w:pPr>
    </w:p>
    <w:p>
      <w:pPr>
        <w:jc w:val="both"/>
        <w:ind w:firstLine="1663"/>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4.5.1. </w:t>
      </w:r>
      <w:r>
        <w:rPr>
          <w:rFonts w:ascii="Times New Roman" w:cs="Times New Roman" w:eastAsia="Times New Roman" w:hAnsi="Times New Roman"/>
          <w:sz w:val="20"/>
          <w:szCs w:val="20"/>
          <w:color w:val="auto"/>
        </w:rPr>
        <w:t>Tenant shall be liable for and shall pay ten (10) days before delinquency, taxes levied against Tenant’s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179" w:lineRule="exact"/>
        <w:rPr>
          <w:sz w:val="20"/>
          <w:szCs w:val="20"/>
          <w:color w:val="auto"/>
        </w:rPr>
      </w:pPr>
    </w:p>
    <w:p>
      <w:pPr>
        <w:jc w:val="both"/>
        <w:ind w:firstLine="1663"/>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4.5.2. </w:t>
      </w:r>
      <w:r>
        <w:rPr>
          <w:rFonts w:ascii="Times New Roman" w:cs="Times New Roman" w:eastAsia="Times New Roman" w:hAnsi="Times New Roman"/>
          <w:sz w:val="20"/>
          <w:szCs w:val="20"/>
          <w:color w:val="auto"/>
        </w:rPr>
        <w:t>If the tenant improvements in the Premises, whether installed and/or paid for by Landlord or Tenant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whether or not affixed to the real property so as to become a part thereof, are assessed for real property tax purposes at a valuation higher than the valuation at which tenant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Times New Roman" w:cs="Times New Roman" w:eastAsia="Times New Roman" w:hAnsi="Times New Roman"/>
          <w:sz w:val="20"/>
          <w:szCs w:val="20"/>
          <w:u w:val="single" w:color="auto"/>
          <w:color w:val="auto"/>
        </w:rPr>
        <w:t>Section 4.5.1</w:t>
      </w:r>
      <w:r>
        <w:rPr>
          <w:rFonts w:ascii="Times New Roman" w:cs="Times New Roman" w:eastAsia="Times New Roman" w:hAnsi="Times New Roman"/>
          <w:sz w:val="20"/>
          <w:szCs w:val="20"/>
          <w:color w:val="auto"/>
        </w:rPr>
        <w:t xml:space="preserve"> above.</w:t>
      </w:r>
    </w:p>
    <w:p>
      <w:pPr>
        <w:spacing w:after="0" w:line="180" w:lineRule="exact"/>
        <w:rPr>
          <w:sz w:val="20"/>
          <w:szCs w:val="20"/>
          <w:color w:val="auto"/>
        </w:rPr>
      </w:pPr>
    </w:p>
    <w:p>
      <w:pPr>
        <w:jc w:val="both"/>
        <w:ind w:firstLine="1663"/>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4.5.3. </w:t>
      </w:r>
      <w:r>
        <w:rPr>
          <w:rFonts w:ascii="Times New Roman" w:cs="Times New Roman" w:eastAsia="Times New Roman" w:hAnsi="Times New Roman"/>
          <w:sz w:val="20"/>
          <w:szCs w:val="20"/>
          <w:color w:val="auto"/>
        </w:rPr>
        <w:t>Notwithstanding any contrary provision herein, Tenant shall pay prior to delinquency any (i) rent tax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sales tax, service tax, transfer tax or value added tax, or any other applicable tax on the rent or services herein or otherwise respecting this Lease, (ii) taxes assessed upon or with respect to the possession, leasing, operation, management, maintenance, alteration, repair, use or occupancy by Tenant of the Premises or any portion of the Project, including the Project parking facility(ies); or (iii) taxes assessed upon this transaction or any document to which Tenant is a party creating or transferring an interest or an estate in the Premises.</w:t>
      </w:r>
    </w:p>
    <w:p>
      <w:pPr>
        <w:spacing w:after="0" w:line="180"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300" w:type="dxa"/>
            <w:vAlign w:val="bottom"/>
            <w:gridSpan w:val="3"/>
          </w:tcPr>
          <w:p>
            <w:pPr>
              <w:jc w:val="center"/>
              <w:ind w:right="2100"/>
              <w:spacing w:after="0"/>
              <w:rPr>
                <w:sz w:val="20"/>
                <w:szCs w:val="20"/>
                <w:color w:val="auto"/>
              </w:rPr>
            </w:pPr>
            <w:r>
              <w:rPr>
                <w:rFonts w:ascii="Times New Roman" w:cs="Times New Roman" w:eastAsia="Times New Roman" w:hAnsi="Times New Roman"/>
                <w:sz w:val="20"/>
                <w:szCs w:val="20"/>
                <w:b w:val="1"/>
                <w:bCs w:val="1"/>
                <w:color w:val="auto"/>
                <w:w w:val="97"/>
              </w:rPr>
              <w:t>ARTICLE 5.</w:t>
            </w:r>
          </w:p>
        </w:tc>
      </w:tr>
      <w:tr>
        <w:trPr>
          <w:trHeight w:val="262"/>
        </w:trPr>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300" w:type="dxa"/>
            <w:vAlign w:val="bottom"/>
            <w:gridSpan w:val="3"/>
          </w:tcPr>
          <w:p>
            <w:pPr>
              <w:jc w:val="center"/>
              <w:ind w:right="2100"/>
              <w:spacing w:after="0"/>
              <w:rPr>
                <w:sz w:val="20"/>
                <w:szCs w:val="20"/>
                <w:color w:val="auto"/>
              </w:rPr>
            </w:pPr>
            <w:r>
              <w:rPr>
                <w:rFonts w:ascii="Times New Roman" w:cs="Times New Roman" w:eastAsia="Times New Roman" w:hAnsi="Times New Roman"/>
                <w:sz w:val="20"/>
                <w:szCs w:val="20"/>
                <w:b w:val="1"/>
                <w:bCs w:val="1"/>
                <w:color w:val="auto"/>
                <w:w w:val="98"/>
              </w:rPr>
              <w:t>USE OF PREMISES</w:t>
            </w:r>
          </w:p>
        </w:tc>
      </w:tr>
      <w:tr>
        <w:trPr>
          <w:trHeight w:val="399"/>
        </w:trPr>
        <w:tc>
          <w:tcPr>
            <w:tcW w:w="90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w w:val="87"/>
              </w:rPr>
              <w:t>5.1</w:t>
            </w:r>
          </w:p>
        </w:tc>
        <w:tc>
          <w:tcPr>
            <w:tcW w:w="95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Permitted Use</w:t>
            </w:r>
            <w:r>
              <w:rPr>
                <w:rFonts w:ascii="Times New Roman" w:cs="Times New Roman" w:eastAsia="Times New Roman" w:hAnsi="Times New Roman"/>
                <w:sz w:val="20"/>
                <w:szCs w:val="20"/>
                <w:color w:val="auto"/>
              </w:rPr>
              <w:t>Tenant shall use the Premises solely for the “Permitted Use,” as that term is defined in Section 7 of the</w:t>
            </w:r>
          </w:p>
        </w:tc>
      </w:tr>
      <w:tr>
        <w:trPr>
          <w:trHeight w:val="20"/>
        </w:trPr>
        <w:tc>
          <w:tcPr>
            <w:tcW w:w="9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Summary, and Tenant shall not use or permit the Premises to be used for any other purpose or purposes whatsoever without the prior written consent of Landlord, which may be withheld in Landlord’s sole and absolute discretion. Tenant covenants and agrees that it shall not use, or suffer or permit any person or persons to use, the Premises or any part thereof for any use or purpose contrary to the rules and regulations promulgated by Landlord from time to time (“</w:t>
      </w:r>
      <w:r>
        <w:rPr>
          <w:rFonts w:ascii="Times New Roman" w:cs="Times New Roman" w:eastAsia="Times New Roman" w:hAnsi="Times New Roman"/>
          <w:sz w:val="19"/>
          <w:szCs w:val="19"/>
          <w:b w:val="1"/>
          <w:bCs w:val="1"/>
          <w:color w:val="auto"/>
        </w:rPr>
        <w:t>Rules and Regulations</w:t>
      </w:r>
      <w:r>
        <w:rPr>
          <w:rFonts w:ascii="Times New Roman" w:cs="Times New Roman" w:eastAsia="Times New Roman" w:hAnsi="Times New Roman"/>
          <w:sz w:val="19"/>
          <w:szCs w:val="19"/>
          <w:color w:val="auto"/>
        </w:rPr>
        <w:t xml:space="preserve">”), the current set of which (as of the date of this Lease) is attached to this Lease as </w:t>
      </w:r>
      <w:r>
        <w:rPr>
          <w:rFonts w:ascii="Times New Roman" w:cs="Times New Roman" w:eastAsia="Times New Roman" w:hAnsi="Times New Roman"/>
          <w:sz w:val="19"/>
          <w:szCs w:val="19"/>
          <w:b w:val="1"/>
          <w:bCs w:val="1"/>
          <w:u w:val="single" w:color="auto"/>
          <w:color w:val="auto"/>
        </w:rPr>
        <w:t>Exhibit D</w:t>
      </w:r>
      <w:r>
        <w:rPr>
          <w:rFonts w:ascii="Times New Roman" w:cs="Times New Roman" w:eastAsia="Times New Roman" w:hAnsi="Times New Roman"/>
          <w:sz w:val="19"/>
          <w:szCs w:val="19"/>
          <w:color w:val="auto"/>
        </w:rPr>
        <w:t>; or in violation of any Applicable Requirements, or in a manner otherwise inconsistent with the character of the Project as a first-class office building Project. Tenant shall faithfully observe and comply with the Rules and Regulations and all Applicable Requirements, now or hereafter affecting the Project. Tenant shall comply with all recorded covenants, conditions, and restrictions currently affecting the Project. Additionally, Tenant acknowledges that the Project is subject to certain covenants, conditions and restrictions (as may be amended from time to time, the “</w:t>
      </w:r>
      <w:r>
        <w:rPr>
          <w:rFonts w:ascii="Times New Roman" w:cs="Times New Roman" w:eastAsia="Times New Roman" w:hAnsi="Times New Roman"/>
          <w:sz w:val="19"/>
          <w:szCs w:val="19"/>
          <w:b w:val="1"/>
          <w:bCs w:val="1"/>
          <w:color w:val="auto"/>
        </w:rPr>
        <w:t>CC&amp;Rs</w:t>
      </w:r>
      <w:r>
        <w:rPr>
          <w:rFonts w:ascii="Times New Roman" w:cs="Times New Roman" w:eastAsia="Times New Roman" w:hAnsi="Times New Roman"/>
          <w:sz w:val="19"/>
          <w:szCs w:val="19"/>
          <w:color w:val="auto"/>
        </w:rPr>
        <w:t xml:space="preserve">”), and Tenant agrees to comply with the CC&amp;Rs with respect to its use of the Premises. Subject to the terms of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of this Lease, Tenant shall not use or allow another person or entity to use any part of the Premises for the storage, use, treatment, manufacture or sale of “Hazardous Materials,” as that term is defined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of this Lease. Tenant shall not do or permit anything to be done in or about the Premises which will in any way damage the reputation of the Project or obstruct or interfere with the rights of other tenants or occupants of the Project, or injure or annoy them or use or allow the Premises to be used for any improper, unlawful or objectionable purpose, nor shall Tenant cause, maintain or permit any nuisance in, on or about the Premises.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20" w:name="page421"/>
    <w:bookmarkEnd w:id="420"/>
    <w:p>
      <w:pPr>
        <w:jc w:val="both"/>
        <w:ind w:firstLine="832"/>
        <w:spacing w:after="0"/>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b w:val="1"/>
          <w:bCs w:val="1"/>
          <w:u w:val="single" w:color="auto"/>
          <w:color w:val="auto"/>
        </w:rPr>
        <w:t>Hazardous Materials</w:t>
      </w:r>
      <w:r>
        <w:rPr>
          <w:rFonts w:ascii="Times New Roman" w:cs="Times New Roman" w:eastAsia="Times New Roman" w:hAnsi="Times New Roman"/>
          <w:sz w:val="20"/>
          <w:szCs w:val="20"/>
          <w:color w:val="auto"/>
        </w:rPr>
        <w:t>Except for supplies and Hazardous Materials (i) typically used in an office in the ordinary course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business (such as copier toner, liquid paper, glue, ink, and cleaning solvents); (ii) used in their designed manner and in compliance with Applicable Requirements; and (iii) in such amounts customary in the ordinary course of Tenant’s research, business, and laboratory operations, neither Tenant nor any other Tenant Parties (as defined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this Lease) shall use, handle, store or dispose of any “Hazardous Material,” as that term is defined below, in, on, under or about the Premises, the Building or the Real Property. If Tenant fails to comply with the foregoing restriction, Tenant shall be solely responsible for, and shall indemnify, defend and hold Landlord harmless from and against, any and all claims, judgments, damages, penalties, fines, costs, liabilities and losses (including, without limitation, diminution in the value of the Premises, Building or the Project; sums paid in settlement of claims; and attorneys’ fees; consultant fees; and expert fees) which arise during or after the Lease Term as a result of any contamination directly or indirectly arising from activities of Tenant or any other Tenant Party. This indemnification of Landlord by Tenant includes, without limitation, costs incurred in connection with any investigation of site conditions or any clean-up, remedial, removal or restoration work, and shall survive the expiration or earlier termination of this Lease. Upon Landlord’s approval, Tenant shall promptly take all actions, at its sole cost and expense, as are necessary to return the Premises, Building and/or Project to the condition existing prior to the release of any such Hazardous Material by Tenant or any other Tenant Party. Furthermore, Tenant shall immediately notify Landlord upon receipt of any notice or other communication of any inquiry, test, investigation or enforcement proceeding concerning the presence of any Hazardous Material on the Premises, Building or Project. Tenant acknowledges that Landlord, at Landlord’s election, shall have the sole right, at Tenant’s expense, to negotiate, defend, approve and appeal any action taken or order issued by any governmental authority with regard to any Hazardous Material contamination directly or indirectly arising from the activities of Tenant or any other Tenant Party. “</w:t>
      </w:r>
      <w:r>
        <w:rPr>
          <w:rFonts w:ascii="Times New Roman" w:cs="Times New Roman" w:eastAsia="Times New Roman" w:hAnsi="Times New Roman"/>
          <w:sz w:val="20"/>
          <w:szCs w:val="20"/>
          <w:b w:val="1"/>
          <w:bCs w:val="1"/>
          <w:color w:val="auto"/>
        </w:rPr>
        <w:t>Hazardous Material</w:t>
      </w:r>
      <w:r>
        <w:rPr>
          <w:rFonts w:ascii="Times New Roman" w:cs="Times New Roman" w:eastAsia="Times New Roman" w:hAnsi="Times New Roman"/>
          <w:sz w:val="20"/>
          <w:szCs w:val="20"/>
          <w:color w:val="auto"/>
        </w:rPr>
        <w:t xml:space="preserve">” shall mean asbestos, any petroleum fuel, and any hazardous or toxic substance, material or waste which is or become regulated by any local governmental authority, the State of Washington or the United States or any political subdivision thereof, including, but not limited to, any material or substance defined as a “hazardous waste”, “extremely hazardous waste”, “restricted hazardous waste”, “hazardous substance”, “hazardous material” or “toxic pollutant” under the Washington Model Toxics Control Act and/or under the Comprehensive Environmental Response, Compensation and Liability Act, 42. U.S.C. 9601, </w:t>
      </w:r>
      <w:r>
        <w:rPr>
          <w:rFonts w:ascii="Times New Roman" w:cs="Times New Roman" w:eastAsia="Times New Roman" w:hAnsi="Times New Roman"/>
          <w:sz w:val="20"/>
          <w:szCs w:val="20"/>
          <w:i w:val="1"/>
          <w:iCs w:val="1"/>
          <w:color w:val="auto"/>
        </w:rPr>
        <w:t>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seq</w:t>
      </w:r>
      <w:r>
        <w:rPr>
          <w:rFonts w:ascii="Times New Roman" w:cs="Times New Roman" w:eastAsia="Times New Roman" w:hAnsi="Times New Roman"/>
          <w:sz w:val="20"/>
          <w:szCs w:val="20"/>
          <w:color w:val="auto"/>
        </w:rPr>
        <w:t>. and mold. Tenant acknowledges that Landlord may incur costs (A) for complying with laws, codes, regulations or ordinances relating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Hazardous Material, or (B) otherwise in connection with Hazardous Material. Tenant agrees that the costs incurred by Landlord with respect to, or in connection with, complying with laws, codes, regulations or ordinances relating to Hazardous Material released at the Premises, Building and/or Project by Tenant or any Tenant Party shall be an Operating Expense, unless the cost of such compliance, as between Landlord and Tenant, is made the responsibility of Tenant under this Lease. Tenant shall have no responsibility (regulatory, investigation, cleanup, financial, or otherwise) whatsoever for any Hazardous Material present at the Premises, Building and/or Project before the Effective Date.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21" w:name="page422"/>
    <w:bookmarkEnd w:id="421"/>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SERVICES AND UTILITIES</w:t>
      </w:r>
    </w:p>
    <w:p>
      <w:pPr>
        <w:spacing w:after="0" w:line="190" w:lineRule="exact"/>
        <w:rPr>
          <w:sz w:val="20"/>
          <w:szCs w:val="20"/>
          <w:color w:val="auto"/>
        </w:rPr>
      </w:pPr>
    </w:p>
    <w:p>
      <w:pPr>
        <w:ind w:left="84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u w:val="single" w:color="auto"/>
          <w:color w:val="auto"/>
        </w:rPr>
        <w:t>Standard Tenant Services</w:t>
      </w:r>
      <w:r>
        <w:rPr>
          <w:rFonts w:ascii="Times New Roman" w:cs="Times New Roman" w:eastAsia="Times New Roman" w:hAnsi="Times New Roman"/>
          <w:sz w:val="19"/>
          <w:szCs w:val="19"/>
          <w:color w:val="auto"/>
        </w:rPr>
        <w:t>Landlord shall provide the following services and utilities.</w:t>
      </w:r>
    </w:p>
    <w:p>
      <w:pPr>
        <w:spacing w:after="0" w:line="216" w:lineRule="exact"/>
        <w:rPr>
          <w:sz w:val="20"/>
          <w:szCs w:val="20"/>
          <w:color w:val="auto"/>
        </w:rPr>
      </w:pPr>
    </w:p>
    <w:p>
      <w:pPr>
        <w:jc w:val="both"/>
        <w:ind w:firstLine="1663"/>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6.1.1. </w:t>
      </w:r>
      <w:r>
        <w:rPr>
          <w:rFonts w:ascii="Times New Roman" w:cs="Times New Roman" w:eastAsia="Times New Roman" w:hAnsi="Times New Roman"/>
          <w:sz w:val="20"/>
          <w:szCs w:val="20"/>
          <w:color w:val="auto"/>
        </w:rPr>
        <w:t>Subject to reasonable change implemented by Landlord and all governmental rules, regulations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guidelines applicable thereto, Landlord shall provide heating and air conditioning when necessary for normal comfort for normal office use in the Premises (“</w:t>
      </w:r>
      <w:r>
        <w:rPr>
          <w:rFonts w:ascii="Times New Roman" w:cs="Times New Roman" w:eastAsia="Times New Roman" w:hAnsi="Times New Roman"/>
          <w:sz w:val="20"/>
          <w:szCs w:val="20"/>
          <w:b w:val="1"/>
          <w:bCs w:val="1"/>
          <w:color w:val="auto"/>
        </w:rPr>
        <w:t>HVAC</w:t>
      </w:r>
      <w:r>
        <w:rPr>
          <w:rFonts w:ascii="Times New Roman" w:cs="Times New Roman" w:eastAsia="Times New Roman" w:hAnsi="Times New Roman"/>
          <w:sz w:val="20"/>
          <w:szCs w:val="20"/>
          <w:color w:val="auto"/>
        </w:rPr>
        <w:t>”) from Monday through Friday from 8:00 a.m. to 6:00 p.m., except for the date of observation of New Year’s Day, Memorial Day, Independence Day, Labor Day, Thanksgiving Day, Christmas Day and, at Landlord’s discretion, other locally and nationally recognized holidays (collectively, the “</w:t>
      </w:r>
      <w:r>
        <w:rPr>
          <w:rFonts w:ascii="Times New Roman" w:cs="Times New Roman" w:eastAsia="Times New Roman" w:hAnsi="Times New Roman"/>
          <w:sz w:val="20"/>
          <w:szCs w:val="20"/>
          <w:b w:val="1"/>
          <w:bCs w:val="1"/>
          <w:color w:val="auto"/>
        </w:rPr>
        <w:t>Holidays</w:t>
      </w:r>
      <w:r>
        <w:rPr>
          <w:rFonts w:ascii="Times New Roman" w:cs="Times New Roman" w:eastAsia="Times New Roman" w:hAnsi="Times New Roman"/>
          <w:sz w:val="20"/>
          <w:szCs w:val="20"/>
          <w:color w:val="auto"/>
        </w:rPr>
        <w:t>”). The daily time periods identified hereinabove are sometimes referred to as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Hours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1663"/>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6.1.2. </w:t>
      </w:r>
      <w:r>
        <w:rPr>
          <w:rFonts w:ascii="Times New Roman" w:cs="Times New Roman" w:eastAsia="Times New Roman" w:hAnsi="Times New Roman"/>
          <w:sz w:val="19"/>
          <w:szCs w:val="19"/>
          <w:color w:val="auto"/>
        </w:rPr>
        <w:t>Subject to the other terms of this Lease, Landlord shall provide adequate electrical wiring and facilities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power for normal general office use as determined by Landlord. Landlord shall provide electricity to the Premises (including adequate electrical wiring and facilities for connection to Tenant’s lighting fixtures and incidental use equipment) for lighting and power suitable for the Permitted Use as reasonably determined by Landlord, provided that Tenant’s electrical usage shall be subject to Applicable Requirements. Tenant will design Tenant’s electrical system serving any equipment producing nonlinear electrical loads to accommodate such nonlinear electrical loads, including, but not limited to, oversizing neutral conductors, derating transformers and/or providing power-line filters. Engineering plans shall include a calculation of Tenant’s fully connected electrical design load with and without demand factors and shall indicate the number of watts of unmetered and submetered loads. Landlord shall designate the electricity utility provider from time to time.</w:t>
      </w:r>
    </w:p>
    <w:p>
      <w:pPr>
        <w:spacing w:after="0" w:line="173" w:lineRule="exact"/>
        <w:rPr>
          <w:sz w:val="20"/>
          <w:szCs w:val="20"/>
          <w:color w:val="auto"/>
        </w:rPr>
      </w:pPr>
    </w:p>
    <w:p>
      <w:pPr>
        <w:jc w:val="both"/>
        <w:ind w:firstLine="166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6.1.3. </w:t>
      </w:r>
      <w:r>
        <w:rPr>
          <w:rFonts w:ascii="Times New Roman" w:cs="Times New Roman" w:eastAsia="Times New Roman" w:hAnsi="Times New Roman"/>
          <w:sz w:val="20"/>
          <w:szCs w:val="20"/>
          <w:color w:val="auto"/>
        </w:rPr>
        <w:t>As part of Operating Expenses, Landlord shall replace lamps, starters and ballasts for Building standard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lighting fixtures within the Premises. In addition, Tenant shall bear the cost of replacement of lamps, starters and ballasts for non-Building standard lighting fixtures within the Premises.</w:t>
      </w:r>
    </w:p>
    <w:p>
      <w:pPr>
        <w:spacing w:after="0" w:line="169" w:lineRule="exact"/>
        <w:rPr>
          <w:sz w:val="20"/>
          <w:szCs w:val="20"/>
          <w:color w:val="auto"/>
        </w:rPr>
      </w:pPr>
    </w:p>
    <w:p>
      <w:pPr>
        <w:ind w:left="1680"/>
        <w:spacing w:after="0"/>
        <w:tabs>
          <w:tab w:leader="none" w:pos="2740" w:val="left"/>
        </w:tabs>
        <w:rPr>
          <w:sz w:val="20"/>
          <w:szCs w:val="20"/>
          <w:color w:val="auto"/>
        </w:rPr>
      </w:pPr>
      <w:r>
        <w:rPr>
          <w:rFonts w:ascii="Times New Roman" w:cs="Times New Roman" w:eastAsia="Times New Roman" w:hAnsi="Times New Roman"/>
          <w:sz w:val="20"/>
          <w:szCs w:val="20"/>
          <w:b w:val="1"/>
          <w:bCs w:val="1"/>
          <w:color w:val="auto"/>
        </w:rPr>
        <w:t>6.1.4.</w:t>
      </w:r>
      <w:r>
        <w:rPr>
          <w:sz w:val="20"/>
          <w:szCs w:val="20"/>
          <w:color w:val="auto"/>
        </w:rPr>
        <w:tab/>
      </w:r>
      <w:r>
        <w:rPr>
          <w:rFonts w:ascii="Times New Roman" w:cs="Times New Roman" w:eastAsia="Times New Roman" w:hAnsi="Times New Roman"/>
          <w:sz w:val="20"/>
          <w:szCs w:val="20"/>
          <w:color w:val="auto"/>
        </w:rPr>
        <w:t>Landlord shall provide city water from the regular Building outlets for drinking, lavatory and toilet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purposes.</w:t>
      </w:r>
    </w:p>
    <w:p>
      <w:pPr>
        <w:spacing w:after="0" w:line="190" w:lineRule="exact"/>
        <w:rPr>
          <w:sz w:val="20"/>
          <w:szCs w:val="20"/>
          <w:color w:val="auto"/>
        </w:rPr>
      </w:pPr>
    </w:p>
    <w:p>
      <w:pPr>
        <w:jc w:val="both"/>
        <w:ind w:firstLine="166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6.1.5. </w:t>
      </w:r>
      <w:r>
        <w:rPr>
          <w:rFonts w:ascii="Times New Roman" w:cs="Times New Roman" w:eastAsia="Times New Roman" w:hAnsi="Times New Roman"/>
          <w:sz w:val="20"/>
          <w:szCs w:val="20"/>
          <w:color w:val="auto"/>
        </w:rPr>
        <w:t>Landlord shall provide window washing services in a manner consistent with other comparable buildings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vicinity of the Project.</w:t>
      </w:r>
    </w:p>
    <w:p>
      <w:pPr>
        <w:spacing w:after="0" w:line="152" w:lineRule="exact"/>
        <w:rPr>
          <w:sz w:val="20"/>
          <w:szCs w:val="20"/>
          <w:color w:val="auto"/>
        </w:rPr>
      </w:pPr>
    </w:p>
    <w:p>
      <w:pPr>
        <w:jc w:val="both"/>
        <w:ind w:firstLine="166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6.1.6. </w:t>
      </w:r>
      <w:r>
        <w:rPr>
          <w:rFonts w:ascii="Times New Roman" w:cs="Times New Roman" w:eastAsia="Times New Roman" w:hAnsi="Times New Roman"/>
          <w:sz w:val="20"/>
          <w:szCs w:val="20"/>
          <w:color w:val="auto"/>
        </w:rPr>
        <w:t>Landlord shall provide nonexclusive, non-attended automatic passenger elevator service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Hours, and shall have at least one elevator available at all other times. Landlord shall provide nonexclusive freight elevator service subject to scheduling by Landlord.</w:t>
      </w:r>
    </w:p>
    <w:p>
      <w:pPr>
        <w:spacing w:after="0" w:line="169" w:lineRule="exact"/>
        <w:rPr>
          <w:sz w:val="20"/>
          <w:szCs w:val="20"/>
          <w:color w:val="auto"/>
        </w:rPr>
      </w:pPr>
    </w:p>
    <w:p>
      <w:pPr>
        <w:jc w:val="both"/>
        <w:ind w:firstLine="166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6.1.7. </w:t>
      </w:r>
      <w:r>
        <w:rPr>
          <w:rFonts w:ascii="Times New Roman" w:cs="Times New Roman" w:eastAsia="Times New Roman" w:hAnsi="Times New Roman"/>
          <w:sz w:val="20"/>
          <w:szCs w:val="20"/>
          <w:color w:val="auto"/>
        </w:rPr>
        <w:t>Tenant shall have the right at its own expense to install an independent stand-alone HVAC system as long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the system does not interfere with the existing Building system or structural integrity of the Building. Any proposed system will require Landlord approval pursuant to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below, such approval not to be unreasonably withheld. Landlord reserves the right to require Tenant to have any such equipment metered separately for power usage and for Tenant to pay for said excess usage.</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Tenant shall cooperate fully with Landlord at all times and abide by all regulations and requirements that Landlord may reasonably prescribe for the proper functioning and protection of the HVAC, electrical, mechanical and plumbing systems.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22" w:name="page423"/>
    <w:bookmarkEnd w:id="422"/>
    <w:p>
      <w:pPr>
        <w:jc w:val="both"/>
        <w:ind w:firstLine="832"/>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6.2 </w:t>
      </w:r>
      <w:r>
        <w:rPr>
          <w:rFonts w:ascii="Times New Roman" w:cs="Times New Roman" w:eastAsia="Times New Roman" w:hAnsi="Times New Roman"/>
          <w:sz w:val="19"/>
          <w:szCs w:val="19"/>
          <w:b w:val="1"/>
          <w:bCs w:val="1"/>
          <w:u w:val="single" w:color="auto"/>
          <w:color w:val="auto"/>
        </w:rPr>
        <w:t>Above Standard Tenant Services</w:t>
      </w:r>
      <w:r>
        <w:rPr>
          <w:rFonts w:ascii="Times New Roman" w:cs="Times New Roman" w:eastAsia="Times New Roman" w:hAnsi="Times New Roman"/>
          <w:sz w:val="19"/>
          <w:szCs w:val="19"/>
          <w:color w:val="auto"/>
        </w:rPr>
        <w:t>Notwithstanding anything to the contrary set forth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Tenant shall directly pay to Landlord one hundred percent (100%) of the cost of all services required by Tenant to be provided by Landlord which are in excess of the services set forth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above (collectively, the “</w:t>
      </w:r>
      <w:r>
        <w:rPr>
          <w:rFonts w:ascii="Times New Roman" w:cs="Times New Roman" w:eastAsia="Times New Roman" w:hAnsi="Times New Roman"/>
          <w:sz w:val="19"/>
          <w:szCs w:val="19"/>
          <w:b w:val="1"/>
          <w:bCs w:val="1"/>
          <w:color w:val="auto"/>
        </w:rPr>
        <w:t>Above-Standard Tenant Services</w:t>
      </w:r>
      <w:r>
        <w:rPr>
          <w:rFonts w:ascii="Times New Roman" w:cs="Times New Roman" w:eastAsia="Times New Roman" w:hAnsi="Times New Roman"/>
          <w:sz w:val="19"/>
          <w:szCs w:val="19"/>
          <w:color w:val="auto"/>
        </w:rPr>
        <w:t xml:space="preserve">”), including, but not limited to, (i) twenty-four (24) hour security services, (ii) twenty-four (24) hour porter service, and (iii) any over-standard use more particularly identified in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below. If the Premises contains a computer room, telecommunications room or other area that is serviced by a separate HVAC unit on a continuous basis (a “</w:t>
      </w:r>
      <w:r>
        <w:rPr>
          <w:rFonts w:ascii="Times New Roman" w:cs="Times New Roman" w:eastAsia="Times New Roman" w:hAnsi="Times New Roman"/>
          <w:sz w:val="19"/>
          <w:szCs w:val="19"/>
          <w:b w:val="1"/>
          <w:bCs w:val="1"/>
          <w:color w:val="auto"/>
        </w:rPr>
        <w:t>Separate HVAC Unit</w:t>
      </w:r>
      <w:r>
        <w:rPr>
          <w:rFonts w:ascii="Times New Roman" w:cs="Times New Roman" w:eastAsia="Times New Roman" w:hAnsi="Times New Roman"/>
          <w:sz w:val="19"/>
          <w:szCs w:val="19"/>
          <w:color w:val="auto"/>
        </w:rPr>
        <w:t>”), Tenant shall pay at Tenant’s sole expense the entire cost of all electricity used by the Separate HVAC Unit (the “</w:t>
      </w:r>
      <w:r>
        <w:rPr>
          <w:rFonts w:ascii="Times New Roman" w:cs="Times New Roman" w:eastAsia="Times New Roman" w:hAnsi="Times New Roman"/>
          <w:sz w:val="19"/>
          <w:szCs w:val="19"/>
          <w:b w:val="1"/>
          <w:bCs w:val="1"/>
          <w:color w:val="auto"/>
        </w:rPr>
        <w:t>Separate HVAC Unit Electrical Cost</w:t>
      </w:r>
      <w:r>
        <w:rPr>
          <w:rFonts w:ascii="Times New Roman" w:cs="Times New Roman" w:eastAsia="Times New Roman" w:hAnsi="Times New Roman"/>
          <w:sz w:val="19"/>
          <w:szCs w:val="19"/>
          <w:color w:val="auto"/>
        </w:rPr>
        <w:t>”). No portion of the Separate HVAC Unit Electrical Cost shall be paid by Landlord, and Tenant shall not be entitled to receive any credit towards Separate HVAC Unit Electrical Costs for electricity used by the Separate HVAC Unit during Business Hours. Landlord may determine the Separate HVAC Unit Electrical Cost by installing, at Tenant’s expense, a separate metering device or by estimating the cost of such usage. The Separate HVAC Unit Electrical Cost shall be paid by Tenant within ten (10) days after Landlord provides to Tenant a bill for such usage. In addition, if there is an existing Separate HVAC Unit in the Premises when Tenant leases the Premises, Tenant accepts such existing Separate HVAC Unit in its “as is” condition. Tenant shall pay, at Tenant’s sole cost and expense, the entire cost of maintaining, repairing and, when necessary, replacing any Separate HVAC Unit. Tenant shall continuously maintain, at Tenant’s sole cost and expense, maintenance contracts for all Separate HVAC Units, using maintenance contract forms and with companies approved by Landlord, in Landlord’s sole discretion (the “</w:t>
      </w:r>
      <w:r>
        <w:rPr>
          <w:rFonts w:ascii="Times New Roman" w:cs="Times New Roman" w:eastAsia="Times New Roman" w:hAnsi="Times New Roman"/>
          <w:sz w:val="19"/>
          <w:szCs w:val="19"/>
          <w:b w:val="1"/>
          <w:bCs w:val="1"/>
          <w:color w:val="auto"/>
        </w:rPr>
        <w:t>Maintenance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Contracts</w:t>
      </w:r>
      <w:r>
        <w:rPr>
          <w:rFonts w:ascii="Times New Roman" w:cs="Times New Roman" w:eastAsia="Times New Roman" w:hAnsi="Times New Roman"/>
          <w:sz w:val="19"/>
          <w:szCs w:val="19"/>
          <w:color w:val="auto"/>
        </w:rPr>
        <w:t>”). Tenant shall provide copies of the Maintenance Contracts to Landlord within ten (10) days after the Commencement Date,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within fifteen (15) days after such contracts are modified or renewed, and at other times upon Landlord’s request.</w:t>
      </w:r>
    </w:p>
    <w:p>
      <w:pPr>
        <w:spacing w:after="0" w:line="171"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6.3 </w:t>
      </w:r>
      <w:r>
        <w:rPr>
          <w:rFonts w:ascii="Times New Roman" w:cs="Times New Roman" w:eastAsia="Times New Roman" w:hAnsi="Times New Roman"/>
          <w:sz w:val="20"/>
          <w:szCs w:val="20"/>
          <w:b w:val="1"/>
          <w:bCs w:val="1"/>
          <w:u w:val="single" w:color="auto"/>
          <w:color w:val="auto"/>
        </w:rPr>
        <w:t>Overstandard Tenant Use</w:t>
      </w:r>
      <w:r>
        <w:rPr>
          <w:rFonts w:ascii="Times New Roman" w:cs="Times New Roman" w:eastAsia="Times New Roman" w:hAnsi="Times New Roman"/>
          <w:sz w:val="20"/>
          <w:szCs w:val="20"/>
          <w:color w:val="auto"/>
        </w:rPr>
        <w:t>Tenant shall not, without Landlord’s prior written consent (which shall not be unreasonably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withheld, conditioned, or delayed), use machines other than standard equipment or lighting other than Building standard lights in the Premises, provided such non-standard equipment or lighting materially affects the temperature otherwise maintained by the air conditioning system or increase the water normally furnished for the Premises by Landlord pursuant to the terms of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of this Lease. If such consent is given, Landlord shall have the right to install supplementary air conditioning units or other facilities in the Premises, including supplementary or additional metering devices, and the cost thereof, including the cost of installation, operation and maintenance, increased wear and tear on existing equipment and other similar charges, shall be paid by Tenant to Landlord upon billing by Landlord. If Tenant uses water, electricity, heat or air conditioning or any other utility or service in excess of that supplied by Landlord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of this Lease, Tenant shall pay to Landlord, upon billing, the cost of such excess consumption, the cost of the installation, operation, and maintenance of equipment which is installed in order to supply such excess consumption, and the cost of the increased wear and tear on existing equipment caused by such excess consumption; and Landlord may install devices to separately meter any increased use and in such event Tenant shall pay the increased cost directly to Landlord, on demand, at the rates charged by the public utility or other service company furnishing the same, including the cost of such additional metering devices. Tenant’s use of electricity shall never exceed the capacity of the feeders to the Project or the risers or wiring installation, and Tenant shall not install or use or permit the installation or use of any computer or electronic data processing equipment in the Premises, without the prior written consent of Landlord. If Tenant desires to use HVAC (other than HVAC that Tenant installs, operates, and maintains and Separate HVAC Unit) during hours other than Business Hours, Tenant shall give Landlord such prior notice, if any, as Landlord shall from time to time establish as appropriate, of Tenant’s desired use in order to supply such service, and Landlord shall supply such service to Tenant at such hourly cost to Tenant (which shall be treated as Additional Rent) as Landlord shall from time to time establish.</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23" w:name="page424"/>
    <w:bookmarkEnd w:id="423"/>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6.4 </w:t>
      </w:r>
      <w:r>
        <w:rPr>
          <w:rFonts w:ascii="Times New Roman" w:cs="Times New Roman" w:eastAsia="Times New Roman" w:hAnsi="Times New Roman"/>
          <w:sz w:val="20"/>
          <w:szCs w:val="20"/>
          <w:b w:val="1"/>
          <w:bCs w:val="1"/>
          <w:u w:val="single" w:color="auto"/>
          <w:color w:val="auto"/>
        </w:rPr>
        <w:t>Interruption of Use</w:t>
      </w:r>
      <w:r>
        <w:rPr>
          <w:rFonts w:ascii="Times New Roman" w:cs="Times New Roman" w:eastAsia="Times New Roman" w:hAnsi="Times New Roman"/>
          <w:sz w:val="20"/>
          <w:szCs w:val="20"/>
          <w:color w:val="auto"/>
        </w:rPr>
        <w:t>Tenant agrees that Landlord shall not be liable for any damages, by abatement of Rent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otherwise, for Tenant’s failure to obtain, or for any failure to furnish or delay in furnishing, any service or utility (including telephone and telecommunication services), or for any diminution in the quality or quantity thereof, when such failure or delay or diminution is reasonably outside the control of Landlord and occasioned, in whole or in part, by repairs, replacements, or improvements, by any strike, lockout or other labor trouble, by inability to secure electricity, gas, water, or other fuel at the Building after reasonable effort to do so, by any riot or other dangerous condition, emergency, accident or casualty whatsoever, by act or default of Tenant or other parties, or by any other cause;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Tenant’s failure to obtain, or for any failure to furnish any of the services or utilities as set forth in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REPAIRS</w:t>
      </w:r>
    </w:p>
    <w:p>
      <w:pPr>
        <w:spacing w:after="0" w:line="190"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7.1 </w:t>
      </w:r>
      <w:r>
        <w:rPr>
          <w:rFonts w:ascii="Times New Roman" w:cs="Times New Roman" w:eastAsia="Times New Roman" w:hAnsi="Times New Roman"/>
          <w:sz w:val="20"/>
          <w:szCs w:val="20"/>
          <w:color w:val="auto"/>
        </w:rPr>
        <w:t>Tenant shall, at Tenant’s own expense, keep the Premises, including all improvements, fixtures, equipment, window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coverings, and furnishings therein, in good order, repair and condition at all times during the Lease Term. Tenant shall, at its own expense, provide janitorial services for the Premises. In addition, Tenant shall, at Tenant’s own expense but under the supervision and subject to the prior approval of Landlord, and within any reasonable period of time specified by Landlord, promptly and adequately repair all damage to the Premises and replace or repair all damaged or broken fixtures and appurtenances; provided however, that, at Landlord’s option, or if Tenant fails to make such repairs, Landlord may, but need not, make such repairs and replacements, and Tenant shall pay Landlord the cost thereof, including a percentage of the cost thereof (to be uniformly established for the Building) sufficient to reimburse Landlord for all overhead, general conditions, fees and other costs or expenses arising from Landlord’s involvement with such repairs and replacements forthwith upon being billed for same. Once Tenant is leasing the entire Premises and is the sole Tenant in the Building, Tenant shall pay, at Tenant’s sole cost and expense, the entire cost of maintaining and repairing the HVAC system serving the Premises. Tenant shall continuously maintain, at Tenant’s sole cost and expense, maintenance contracts for such HVAC system, using maintenance contract forms and with companies reasonably approved by Landlord. Tenant shall provide copies of such contracts when they are entered into, and within fifteen (15) days after such contracts are modified or renewed, and at other times upon Landlord’s request.</w:t>
      </w:r>
    </w:p>
    <w:p>
      <w:pPr>
        <w:spacing w:after="0" w:line="189"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color w:val="auto"/>
        </w:rPr>
        <w:t>Landlord shall be responsible for repairs to the exterior walls, foundation and roof of the Building, the structural portions of the floors of the Building, and the systems and equipment of the Building (including without limitation, the HVAC system, except for Tenant’s HVAC obligations as set forth above), except to the extent that such repairs are required due to the negligence or willful misconduct of Tenant; provided, however, that if such repairs are due to the negligence or willful misconduct of Tenant, Landlord shall nevertheless make such repairs at Tenant’s expense, or, if covered by Landlord’s insurance, Tenant shall only be obligated to pay any deductible in connection therewith. Landlord may, but shall not be required to, enter the Premises at all reasonable times to make such repairs, alterations, improvements and additions to the Premises or to the Building or to any equipment located in the Building as Landlord shall desire or deem necessary or as Landlord may be required to do by governmental or quasi-governmental authority or court order or decree; provided, however, except for (i) emergencies, (ii) repairs, alterations, improvements or additions required by governmental or quasi-governmental authorities or court order or decree, or (iii) repairs which are the obligation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24" w:name="page425"/>
    <w:bookmarkEnd w:id="424"/>
    <w:p>
      <w:pPr>
        <w:jc w:val="both"/>
        <w:spacing w:after="0" w:line="254" w:lineRule="auto"/>
        <w:rPr>
          <w:sz w:val="20"/>
          <w:szCs w:val="20"/>
          <w:color w:val="auto"/>
        </w:rPr>
      </w:pPr>
      <w:r>
        <w:rPr>
          <w:rFonts w:ascii="Times New Roman" w:cs="Times New Roman" w:eastAsia="Times New Roman" w:hAnsi="Times New Roman"/>
          <w:sz w:val="20"/>
          <w:szCs w:val="20"/>
          <w:color w:val="auto"/>
        </w:rPr>
        <w:t>of Tenant hereunder, any such entry into the Premises by Landlord shall be performed in a manner so as not to materially interfere with Tenant’s use of, or access to, the Premises; provided that, with respect to items (ii) and (iii) above, Landlord shall use commercially reasonable efforts to not materially interfere with Tenant’s use of, or access to, the Premises.</w:t>
      </w:r>
    </w:p>
    <w:p>
      <w:pPr>
        <w:spacing w:after="0" w:line="17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ADDITIONS AND ALTERATIONS</w:t>
      </w:r>
    </w:p>
    <w:p>
      <w:pPr>
        <w:spacing w:after="0" w:line="190" w:lineRule="exact"/>
        <w:rPr>
          <w:sz w:val="20"/>
          <w:szCs w:val="20"/>
          <w:color w:val="auto"/>
        </w:rPr>
      </w:pPr>
    </w:p>
    <w:p>
      <w:pPr>
        <w:jc w:val="both"/>
        <w:ind w:firstLine="832"/>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8.1 </w:t>
      </w:r>
      <w:r>
        <w:rPr>
          <w:rFonts w:ascii="Times New Roman" w:cs="Times New Roman" w:eastAsia="Times New Roman" w:hAnsi="Times New Roman"/>
          <w:sz w:val="20"/>
          <w:szCs w:val="20"/>
          <w:b w:val="1"/>
          <w:bCs w:val="1"/>
          <w:u w:val="single" w:color="auto"/>
          <w:color w:val="auto"/>
        </w:rPr>
        <w:t>Alterations</w:t>
      </w:r>
      <w:r>
        <w:rPr>
          <w:rFonts w:ascii="Times New Roman" w:cs="Times New Roman" w:eastAsia="Times New Roman" w:hAnsi="Times New Roman"/>
          <w:sz w:val="20"/>
          <w:szCs w:val="20"/>
          <w:color w:val="auto"/>
        </w:rPr>
        <w:t>Tenant may not make any improvements, alterations, additions or changes to the Premises (collectively,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Alterations</w:t>
      </w:r>
      <w:r>
        <w:rPr>
          <w:rFonts w:ascii="Times New Roman" w:cs="Times New Roman" w:eastAsia="Times New Roman" w:hAnsi="Times New Roman"/>
          <w:sz w:val="20"/>
          <w:szCs w:val="20"/>
          <w:color w:val="auto"/>
        </w:rPr>
        <w:t>”) during the Lease Term without the consent of Landlord, which consent may be granted, withheld or conditioned in the reasonable discretion of Landlord.</w:t>
      </w:r>
    </w:p>
    <w:p>
      <w:pPr>
        <w:spacing w:after="0" w:line="169"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8.2 </w:t>
      </w:r>
      <w:r>
        <w:rPr>
          <w:rFonts w:ascii="Times New Roman" w:cs="Times New Roman" w:eastAsia="Times New Roman" w:hAnsi="Times New Roman"/>
          <w:sz w:val="20"/>
          <w:szCs w:val="20"/>
          <w:b w:val="1"/>
          <w:bCs w:val="1"/>
          <w:u w:val="single" w:color="auto"/>
          <w:color w:val="auto"/>
        </w:rPr>
        <w:t>Manner of Construction</w:t>
      </w:r>
      <w:r>
        <w:rPr>
          <w:rFonts w:ascii="Times New Roman" w:cs="Times New Roman" w:eastAsia="Times New Roman" w:hAnsi="Times New Roman"/>
          <w:sz w:val="20"/>
          <w:szCs w:val="20"/>
          <w:color w:val="auto"/>
        </w:rPr>
        <w:t>Landlord may impose, as a condition of its consent to any Alterations or repairs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Premises or about the Premises, such requirements as Landlord in its reasonable discretion may deem desirable, including, but not limited to, the requirement that Tenant utilize for such purposes only contractors, materials, mechanics and materialmen reasonably approved by Landlord. Landlord’s approval of the plans, specifications and/or working drawings for Tenant’s Alterations shall create no responsibility or liability on the part of Landlord for their completeness, design sufficiency, or compliance with applicable laws, rules and regulations of governmental agencies or authorities. All work with respect to any Alterations must be done in a good and workmanlike manner in compliance with all Applicable Requirements and with Landlord’s Rules and Regulations, and diligently prosecuted to completion to the end that the Premises shall at all times be a complete unit except during the period of work. In the event Tenant performs any Alterations in the Premises which require or give rise to governmentally-required changes to the “Base, Shell and Core” (as defined below), then Landlord shall, at Tenant’s expense, make such changes to the Base, Shell and Core. The “</w:t>
      </w:r>
      <w:r>
        <w:rPr>
          <w:rFonts w:ascii="Times New Roman" w:cs="Times New Roman" w:eastAsia="Times New Roman" w:hAnsi="Times New Roman"/>
          <w:sz w:val="20"/>
          <w:szCs w:val="20"/>
          <w:b w:val="1"/>
          <w:bCs w:val="1"/>
          <w:color w:val="auto"/>
        </w:rPr>
        <w:t>Base, Shell and Core</w:t>
      </w:r>
      <w:r>
        <w:rPr>
          <w:rFonts w:ascii="Times New Roman" w:cs="Times New Roman" w:eastAsia="Times New Roman" w:hAnsi="Times New Roman"/>
          <w:sz w:val="20"/>
          <w:szCs w:val="20"/>
          <w:color w:val="auto"/>
        </w:rPr>
        <w:t xml:space="preserve">” shall include the structural portions of the Building, and the public restrooms and the systems and equipment located in the internal core of the Building on the floor or floors on which the Premises are located. If any Alterations will involve the use of or disturb Hazardous Materials existing in the Premises, Tenant shall comply with Landlord’s Rules and Regulations concerning such Hazardous Materials; provided, however, that Landlord shall be responsible for the costs of the abatement of any Hazardous Materials present at the Premises before the Effective Date. In performing the work of any such Alterations, Tenant shall have the work performed in such manner as not to unreasonably obstruct access to the Building or the Common Areas for any other tenant of the Building or Project, and so as not to unreasonably obstruct the business of Landlord or other tenants in the Building or Project, or unreasonably interfere with the labor force working in the Building or Project. In the event that Tenant makes any Alterations, Tenant agrees to carry “Builder’s All Risk” insurance in an amount approved by Landlord covering the construction of such Alterations, and such other insurance as Landlord may require, it being understood and agreed that all of such Alterations shall be insured by Tenant pursuant to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of this Lease immediately upon completion thereof. In addition, Landlord may, in its discretion, require Tenant to obtain a lien and completion bond or some alternate form of security satisfactory to Landlord in an amount sufficient to ensure the lien-free completion of such Alterations and naming Landlord as a co-obligee. Upon completion of any Alterations, Tenant agrees to deliver to the Project management office a reproducible copy of the “as built” drawings of the Alterations.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5" w:name="page426"/>
    <w:bookmarkEnd w:id="425"/>
    <w:p>
      <w:pPr>
        <w:jc w:val="both"/>
        <w:ind w:firstLine="832"/>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8.3 </w:t>
      </w:r>
      <w:r>
        <w:rPr>
          <w:rFonts w:ascii="Times New Roman" w:cs="Times New Roman" w:eastAsia="Times New Roman" w:hAnsi="Times New Roman"/>
          <w:sz w:val="20"/>
          <w:szCs w:val="20"/>
          <w:b w:val="1"/>
          <w:bCs w:val="1"/>
          <w:u w:val="single" w:color="auto"/>
          <w:color w:val="auto"/>
        </w:rPr>
        <w:t>Payment for Improvements</w:t>
      </w:r>
      <w:r>
        <w:rPr>
          <w:rFonts w:ascii="Times New Roman" w:cs="Times New Roman" w:eastAsia="Times New Roman" w:hAnsi="Times New Roman"/>
          <w:sz w:val="20"/>
          <w:szCs w:val="20"/>
          <w:color w:val="auto"/>
        </w:rPr>
        <w:t>In the event Tenant orders any Alteration or repair work directly from Landlord, or from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contractor selected by Landlord, the charges for such work shall be deemed Additional Rent under this Lease, payable upon billing therefor, either periodically during construction or upon the substantial completion of such work, at Landlord’s option. Upon completion of such work, Tenant shall deliver to Landlord, if payment is made directly to contractors, evidence of payment, contractors’ affidavits and full and final waivers of all liens for labor, services or materials. If Tenant orders any work directly from Landlord, Tenant shall pay to Landlord a percentage of the cost of such work (such percentage, which shall vary depending upon whether or not Tenant orders the work directly from Landlord, to be established on a uniform basis for the Project, not to exceed two percent (2%)) sufficient to compensate Landlord for all overhead, general conditions, fees and other costs and expenses arising from Landlord’s completion of such work.</w:t>
      </w:r>
    </w:p>
    <w:p>
      <w:pPr>
        <w:spacing w:after="0" w:line="182" w:lineRule="exact"/>
        <w:rPr>
          <w:sz w:val="20"/>
          <w:szCs w:val="20"/>
          <w:color w:val="auto"/>
        </w:rPr>
      </w:pPr>
    </w:p>
    <w:p>
      <w:pPr>
        <w:jc w:val="both"/>
        <w:ind w:firstLine="832"/>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8.4 </w:t>
      </w:r>
      <w:r>
        <w:rPr>
          <w:rFonts w:ascii="Times New Roman" w:cs="Times New Roman" w:eastAsia="Times New Roman" w:hAnsi="Times New Roman"/>
          <w:sz w:val="19"/>
          <w:szCs w:val="19"/>
          <w:b w:val="1"/>
          <w:bCs w:val="1"/>
          <w:u w:val="single" w:color="auto"/>
          <w:color w:val="auto"/>
        </w:rPr>
        <w:t>Landlord’s Property</w:t>
      </w:r>
      <w:r>
        <w:rPr>
          <w:rFonts w:ascii="Times New Roman" w:cs="Times New Roman" w:eastAsia="Times New Roman" w:hAnsi="Times New Roman"/>
          <w:sz w:val="19"/>
          <w:szCs w:val="19"/>
          <w:color w:val="auto"/>
        </w:rPr>
        <w:t>Landlord and Tenant hereby acknowledge and agree that (i) all Alterations, improvements and/or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appurtenances which may be installed or placed in or about the Premises (excluding Tenant’s removable trade fixtures, furniture or equipment) which may be installed or placed in or about the Premises, and all signs installed in, on or about the Premises, from time to time, shall be at the sole cost of Tenant and shall be and become the property of Landlord, and (ii) the “Tenant Improvements” (as defined in the Tenant Work Letter, if any) to be constructed in the Premises pursuant to the Tenant Work Letter shall, upon completion of the same, be and become a part of the Premises and the property of Landlord. Furthermore, Landlord may, by written notice to Tenant prior to the end of the Lease Term, or given upon any earlier termination of this Lease, require Tenant at Tenant’s expense to remove Alterations or improvements in the lab areas of the Premises (including, without limitation the Tenant Improvements, if any) and to repair any damage to the Premises, Building and Project caused by such removal. If Tenant fails to complete such removal and/or to repair any damage caused by the removal of any Alterations or improvements, and/or to return the affected portion of the Premises to a building standard improved condition as determined by Landlord, then at Landlord’s option, either (A) Tenant shall be deemed to be holding over in the Premises and Rent shall continue to accrue in accordance with the terms of </w:t>
      </w:r>
      <w:r>
        <w:rPr>
          <w:rFonts w:ascii="Times New Roman" w:cs="Times New Roman" w:eastAsia="Times New Roman" w:hAnsi="Times New Roman"/>
          <w:sz w:val="19"/>
          <w:szCs w:val="19"/>
          <w:u w:val="single" w:color="auto"/>
          <w:color w:val="auto"/>
        </w:rPr>
        <w:t>Article 16</w:t>
      </w:r>
      <w:r>
        <w:rPr>
          <w:rFonts w:ascii="Times New Roman" w:cs="Times New Roman" w:eastAsia="Times New Roman" w:hAnsi="Times New Roman"/>
          <w:sz w:val="19"/>
          <w:szCs w:val="19"/>
          <w:color w:val="auto"/>
        </w:rPr>
        <w:t>, below, until such work shall be completed, and/or (B) Landlord may do so and may charge the cost thereof to Tenant. Tenant hereby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17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COVENANT AGAINST LIENS</w:t>
      </w:r>
    </w:p>
    <w:p>
      <w:pPr>
        <w:spacing w:after="0" w:line="194"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(and Tenant shall reimburse Landlord upon demand therefor for all costs and expenses incurred by Landlord in connection therewith). Tenant shall remove any such lien or encumbrance by bond or otherwise within five (5) business days after notice by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26" w:name="page427"/>
    <w:bookmarkEnd w:id="426"/>
    <w:p>
      <w:pPr>
        <w:jc w:val="both"/>
        <w:spacing w:after="0" w:line="254" w:lineRule="auto"/>
        <w:rPr>
          <w:sz w:val="20"/>
          <w:szCs w:val="20"/>
          <w:color w:val="auto"/>
        </w:rPr>
      </w:pPr>
      <w:r>
        <w:rPr>
          <w:rFonts w:ascii="Times New Roman" w:cs="Times New Roman" w:eastAsia="Times New Roman" w:hAnsi="Times New Roman"/>
          <w:sz w:val="20"/>
          <w:szCs w:val="20"/>
          <w:color w:val="auto"/>
        </w:rPr>
        <w:t>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spacing w:after="0" w:line="17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INDEMNITY AND INSURANCE</w:t>
      </w:r>
    </w:p>
    <w:p>
      <w:pPr>
        <w:spacing w:after="0" w:line="190" w:lineRule="exact"/>
        <w:rPr>
          <w:sz w:val="20"/>
          <w:szCs w:val="20"/>
          <w:color w:val="auto"/>
        </w:rPr>
      </w:pPr>
    </w:p>
    <w:p>
      <w:pPr>
        <w:jc w:val="both"/>
        <w:ind w:firstLine="832"/>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10.1 </w:t>
      </w:r>
      <w:r>
        <w:rPr>
          <w:rFonts w:ascii="Times New Roman" w:cs="Times New Roman" w:eastAsia="Times New Roman" w:hAnsi="Times New Roman"/>
          <w:sz w:val="19"/>
          <w:szCs w:val="19"/>
          <w:b w:val="1"/>
          <w:bCs w:val="1"/>
          <w:u w:val="single" w:color="auto"/>
          <w:color w:val="auto"/>
        </w:rPr>
        <w:t>Indemnification</w:t>
      </w:r>
      <w:r>
        <w:rPr>
          <w:rFonts w:ascii="Times New Roman" w:cs="Times New Roman" w:eastAsia="Times New Roman" w:hAnsi="Times New Roman"/>
          <w:sz w:val="19"/>
          <w:szCs w:val="19"/>
          <w:color w:val="auto"/>
        </w:rPr>
        <w:t>To the extent not prohibited by law, Landlord and its partners and their respective officers, agents,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principals, managers, owners, servants, employees, mortgagees and independent contractors (collectively, “</w:t>
      </w:r>
      <w:r>
        <w:rPr>
          <w:rFonts w:ascii="Times New Roman" w:cs="Times New Roman" w:eastAsia="Times New Roman" w:hAnsi="Times New Roman"/>
          <w:sz w:val="19"/>
          <w:szCs w:val="19"/>
          <w:b w:val="1"/>
          <w:bCs w:val="1"/>
          <w:color w:val="auto"/>
        </w:rPr>
        <w:t>Landlord Parties</w:t>
      </w:r>
      <w:r>
        <w:rPr>
          <w:rFonts w:ascii="Times New Roman" w:cs="Times New Roman" w:eastAsia="Times New Roman" w:hAnsi="Times New Roman"/>
          <w:sz w:val="19"/>
          <w:szCs w:val="19"/>
          <w:color w:val="auto"/>
        </w:rPr>
        <w:t>”) shall not be liable for any damage either to person or property or resulting from the loss of use thereof, which damage is sustained by Tenant or by other persons claiming through Tenant. Except to the extent caused by or resulting from Landlord’s or any Landlord Party’s negligent act or omission or willful misconduct, Tenant shall indemnify, defend, protect, and hold harmless Landlord and the other Landlord Parties from any and all loss, cost, damage, expense and liability (including without limitation court costs and reasonable attorneys’ fees) incurred in connection with or arising from (a) any causes in, on or about the Premises; (b) the use or occupancy of the Premises or Project by Tenant or any person claiming under Tenant; (c) any activity, work, or thing done, or permitted or suffered by Tenant in or about the Premises; (d) any acts, omission, or negligence of Tenant or any person claiming under Tenant, or the contractors, agents, employees, invitees, or visitors of Tenant or any such person (collectively, “</w:t>
      </w:r>
      <w:r>
        <w:rPr>
          <w:rFonts w:ascii="Times New Roman" w:cs="Times New Roman" w:eastAsia="Times New Roman" w:hAnsi="Times New Roman"/>
          <w:sz w:val="19"/>
          <w:szCs w:val="19"/>
          <w:b w:val="1"/>
          <w:bCs w:val="1"/>
          <w:color w:val="auto"/>
        </w:rPr>
        <w:t>Tenant Parties</w:t>
      </w:r>
      <w:r>
        <w:rPr>
          <w:rFonts w:ascii="Times New Roman" w:cs="Times New Roman" w:eastAsia="Times New Roman" w:hAnsi="Times New Roman"/>
          <w:sz w:val="19"/>
          <w:szCs w:val="19"/>
          <w:color w:val="auto"/>
        </w:rPr>
        <w:t xml:space="preserve">”), in, on or about the Project; (e) any breach, violation, or non-performance by Tenant or any other Tenant Party of any of the TCCs or any Applicable Requirements of any kind; (f) any injury or damage to the person, property, or business of Tenant, its employees, agents, contractors, invitees, visitors, or any other person entering upon the Premises under the express or implied invitation of Tenant; or (g) the placement of any personal property or other items within the Premises.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appraisers’, accountants’ and attorneys’ fees. Further, Tenant’s agreement to indemnify Landlord pursuant to this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is not intended and shall not relieve any insurance carrier of its obligations under policies required to be carried by Tenant pursuant to the provisions of this Lease, to the extent such policies cover the matters subject to Tenant’s indemnification obligations; nor shall they supersede any inconsistent agreement of the parties set forth in any other provision of this Lease. LANDORD AND TENANT HEREBY WAIVE AND AGREE THAT IT WILL NOT ASSERT ITS INDUSTRIAL INSURANCE IMMUNITY UNDER TITLE 51 RCW IF SUCH ASSERTION WOULD BE INCONSISTENT WITH THE RIGHT OF THE OTHER PARTY TO INDEMNIFICATION PURSUANT TO THIS ARTICLE 7. THE PARTIES AGREE THAT THIS PROVISION WAS MUTUALLY NEGOTIATED AND RELATES ONLY TO A WAIVER OF IMMUNITY WITH RESPECT TO THE OTHER PARTY AND NO THIRD PARTY, INCLUDING BUT NOT LIMITED TO, ANY INJURED EMPLOYEE OF EITHER PARTY, SHALL BE A THIRD PARTY BENEFICIARY OF THIS PROVISION. The provisions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w:t>
      </w:r>
      <w:r>
        <w:rPr>
          <w:rFonts w:ascii="Times New Roman" w:cs="Times New Roman" w:eastAsia="Times New Roman" w:hAnsi="Times New Roman"/>
          <w:sz w:val="19"/>
          <w:szCs w:val="19"/>
          <w:color w:val="auto"/>
        </w:rPr>
        <w:t xml:space="preserve"> shall survive the expiration or sooner termination of this Lease.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7" w:name="page428"/>
    <w:bookmarkEnd w:id="427"/>
    <w:p>
      <w:pPr>
        <w:jc w:val="both"/>
        <w:ind w:firstLine="832"/>
        <w:spacing w:after="0" w:line="247" w:lineRule="auto"/>
        <w:rPr>
          <w:sz w:val="20"/>
          <w:szCs w:val="20"/>
          <w:color w:val="auto"/>
        </w:rPr>
      </w:pPr>
      <w:r>
        <w:rPr>
          <w:rFonts w:ascii="Times New Roman" w:cs="Times New Roman" w:eastAsia="Times New Roman" w:hAnsi="Times New Roman"/>
          <w:sz w:val="20"/>
          <w:szCs w:val="20"/>
          <w:b w:val="1"/>
          <w:bCs w:val="1"/>
          <w:color w:val="auto"/>
        </w:rPr>
        <w:t>10.2 Tenant’s Compliance With Landlord’s Fire and Casualty Insurance</w:t>
      </w:r>
      <w:r>
        <w:rPr>
          <w:rFonts w:ascii="Times New Roman" w:cs="Times New Roman" w:eastAsia="Times New Roman" w:hAnsi="Times New Roman"/>
          <w:sz w:val="20"/>
          <w:szCs w:val="20"/>
          <w:color w:val="auto"/>
        </w:rPr>
        <w:t>Tenant shall, at Tenant’s expense, comply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180" w:lineRule="exact"/>
        <w:rPr>
          <w:sz w:val="20"/>
          <w:szCs w:val="20"/>
          <w:color w:val="auto"/>
        </w:rPr>
      </w:pPr>
    </w:p>
    <w:p>
      <w:pPr>
        <w:ind w:left="84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b w:val="1"/>
          <w:bCs w:val="1"/>
          <w:u w:val="single" w:color="auto"/>
          <w:color w:val="auto"/>
        </w:rPr>
        <w:t>Tenant’s Insurance</w:t>
      </w:r>
      <w:r>
        <w:rPr>
          <w:rFonts w:ascii="Times New Roman" w:cs="Times New Roman" w:eastAsia="Times New Roman" w:hAnsi="Times New Roman"/>
          <w:sz w:val="19"/>
          <w:szCs w:val="19"/>
          <w:color w:val="auto"/>
        </w:rPr>
        <w:t>Tenant shall maintain the following coverages in the following amounts.</w:t>
      </w:r>
    </w:p>
    <w:p>
      <w:pPr>
        <w:spacing w:after="0" w:line="216" w:lineRule="exact"/>
        <w:rPr>
          <w:sz w:val="20"/>
          <w:szCs w:val="20"/>
          <w:color w:val="auto"/>
        </w:rPr>
      </w:pPr>
    </w:p>
    <w:p>
      <w:pPr>
        <w:jc w:val="both"/>
        <w:ind w:firstLine="166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10.3.1. </w:t>
      </w:r>
      <w:r>
        <w:rPr>
          <w:rFonts w:ascii="Times New Roman" w:cs="Times New Roman" w:eastAsia="Times New Roman" w:hAnsi="Times New Roman"/>
          <w:sz w:val="20"/>
          <w:szCs w:val="20"/>
          <w:color w:val="auto"/>
        </w:rPr>
        <w:t>Commercial General Liability Insurance covering the insured against claims of bodily injury, personal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injury and property damage (including loss of use thereof) arising out of Tenant’s operations, and contractual liabilities (covering the performance by Tenant of its indemnity agreements) including a Broad Form endorsement covering the insuring provisions of this Lease and the performance by Tenant of the indemnity agreements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this Lease, for limits of liability not less than:</w:t>
      </w:r>
    </w:p>
    <w:p>
      <w:pPr>
        <w:sectPr>
          <w:pgSz w:w="11900" w:h="16838" w:orient="portrait"/>
          <w:cols w:equalWidth="0" w:num="1">
            <w:col w:w="11240"/>
          </w:cols>
          <w:pgMar w:left="320" w:top="572" w:right="339" w:bottom="1440" w:gutter="0" w:footer="0" w:header="0"/>
        </w:sectPr>
      </w:pPr>
    </w:p>
    <w:p>
      <w:pPr>
        <w:spacing w:after="0" w:line="2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Bodily Injury and</w:t>
      </w:r>
    </w:p>
    <w:p>
      <w:pPr>
        <w:spacing w:after="0" w:line="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Property Damage Liability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$2,000,000 each occurrence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$3,000,000 annual aggregate</w:t>
      </w:r>
    </w:p>
    <w:p>
      <w:pPr>
        <w:spacing w:after="0" w:line="200" w:lineRule="exact"/>
        <w:rPr>
          <w:sz w:val="20"/>
          <w:szCs w:val="20"/>
          <w:color w:val="auto"/>
        </w:rPr>
      </w:pPr>
    </w:p>
    <w:p>
      <w:pPr>
        <w:sectPr>
          <w:pgSz w:w="11900" w:h="16838" w:orient="portrait"/>
          <w:cols w:equalWidth="0" w:num="2">
            <w:col w:w="4880" w:space="720"/>
            <w:col w:w="5640"/>
          </w:cols>
          <w:pgMar w:left="320" w:top="572" w:right="339" w:bottom="1440" w:gutter="0" w:footer="0" w:header="0"/>
          <w:type w:val="continuous"/>
        </w:sectPr>
      </w:pPr>
    </w:p>
    <w:p>
      <w:pPr>
        <w:spacing w:after="0" w:line="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Personal Injury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$2,000,000 each occurrence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$3,000,00 annual aggregate</w:t>
      </w:r>
    </w:p>
    <w:p>
      <w:pPr>
        <w:spacing w:after="0"/>
        <w:rPr>
          <w:sz w:val="20"/>
          <w:szCs w:val="20"/>
          <w:color w:val="auto"/>
        </w:rPr>
      </w:pPr>
      <w:r>
        <w:rPr>
          <w:rFonts w:ascii="Times New Roman" w:cs="Times New Roman" w:eastAsia="Times New Roman" w:hAnsi="Times New Roman"/>
          <w:sz w:val="20"/>
          <w:szCs w:val="20"/>
          <w:color w:val="auto"/>
        </w:rPr>
        <w:t>0% Insured’s participation</w:t>
      </w:r>
    </w:p>
    <w:p>
      <w:pPr>
        <w:spacing w:after="0" w:line="190" w:lineRule="exact"/>
        <w:rPr>
          <w:sz w:val="20"/>
          <w:szCs w:val="20"/>
          <w:color w:val="auto"/>
        </w:rPr>
      </w:pPr>
    </w:p>
    <w:p>
      <w:pPr>
        <w:sectPr>
          <w:pgSz w:w="11900" w:h="16838" w:orient="portrait"/>
          <w:cols w:equalWidth="0" w:num="2">
            <w:col w:w="4880" w:space="720"/>
            <w:col w:w="5640"/>
          </w:cols>
          <w:pgMar w:left="320" w:top="572" w:right="339" w:bottom="1440" w:gutter="0" w:footer="0" w:header="0"/>
          <w:type w:val="continuous"/>
        </w:sectPr>
      </w:pPr>
    </w:p>
    <w:p>
      <w:pPr>
        <w:jc w:val="both"/>
        <w:ind w:firstLine="1663"/>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10.3.2. </w:t>
      </w:r>
      <w:r>
        <w:rPr>
          <w:rFonts w:ascii="Times New Roman" w:cs="Times New Roman" w:eastAsia="Times New Roman" w:hAnsi="Times New Roman"/>
          <w:sz w:val="19"/>
          <w:szCs w:val="19"/>
          <w:color w:val="auto"/>
        </w:rPr>
        <w:t>Property Insurance covering (i) all office furniture, business and trade fixtures, office equipment, free-standing cabinet work, movable partitions, merchandise and all other items of Tenant’s property on the Premises installed by, for, or at the expense of Tenant, (ii) the “Tenant Improvements,” as that term is defined in the Tenant Work Letter, and any other improvements which exist in the Premises as of the Lease Commencement Date (excluding the “base” Building) (the “</w:t>
      </w:r>
      <w:r>
        <w:rPr>
          <w:rFonts w:ascii="Times New Roman" w:cs="Times New Roman" w:eastAsia="Times New Roman" w:hAnsi="Times New Roman"/>
          <w:sz w:val="19"/>
          <w:szCs w:val="19"/>
          <w:b w:val="1"/>
          <w:bCs w:val="1"/>
          <w:color w:val="auto"/>
        </w:rPr>
        <w:t>Original Improvements</w:t>
      </w:r>
      <w:r>
        <w:rPr>
          <w:rFonts w:ascii="Times New Roman" w:cs="Times New Roman" w:eastAsia="Times New Roman" w:hAnsi="Times New Roman"/>
          <w:sz w:val="19"/>
          <w:szCs w:val="19"/>
          <w:color w:val="auto"/>
        </w:rPr>
        <w:t>”), and (iii) all other Alterations to the Premises. Such insurance shall be written on an “all risks” of physical loss or damage basis, for the full replacement cost value (subject to reasonable deductible amounts) new without deduction for depreciation of the covered items and shall include coverage for damage or other loss caused by fire or other peril including, but not limited to, vandalism and malicious mischief, theft, water damage of any type, including sprinkler leakage, bursting or stoppage of pipes, and explosion, and providing business interruption coverage for a period of one year. Such insurance policy shall contain an agreed valuation (or “agreed amount”) provision in lieu of any coinsurance clause.</w:t>
      </w:r>
    </w:p>
    <w:p>
      <w:pPr>
        <w:spacing w:after="0" w:line="168" w:lineRule="exact"/>
        <w:rPr>
          <w:sz w:val="20"/>
          <w:szCs w:val="20"/>
          <w:color w:val="auto"/>
        </w:rPr>
      </w:pPr>
    </w:p>
    <w:p>
      <w:pPr>
        <w:jc w:val="both"/>
        <w:ind w:firstLine="25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10.3.2.1. </w:t>
      </w:r>
      <w:r>
        <w:rPr>
          <w:rFonts w:ascii="Times New Roman" w:cs="Times New Roman" w:eastAsia="Times New Roman" w:hAnsi="Times New Roman"/>
          <w:sz w:val="20"/>
          <w:szCs w:val="20"/>
          <w:color w:val="auto"/>
        </w:rPr>
        <w:t>Tenant shall pay for any increase in the premiums for the property insurance of the Project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said increase is caused by Tenant’s acts, omissions, use or occupancy of the Premises.</w:t>
      </w:r>
    </w:p>
    <w:p>
      <w:pPr>
        <w:spacing w:after="0" w:line="152" w:lineRule="exact"/>
        <w:rPr>
          <w:sz w:val="20"/>
          <w:szCs w:val="20"/>
          <w:color w:val="auto"/>
        </w:rPr>
      </w:pPr>
    </w:p>
    <w:p>
      <w:pPr>
        <w:jc w:val="both"/>
        <w:ind w:firstLine="25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10.3.2.2. </w:t>
      </w:r>
      <w:r>
        <w:rPr>
          <w:rFonts w:ascii="Times New Roman" w:cs="Times New Roman" w:eastAsia="Times New Roman" w:hAnsi="Times New Roman"/>
          <w:sz w:val="20"/>
          <w:szCs w:val="20"/>
          <w:color w:val="auto"/>
        </w:rPr>
        <w:t>Tenant shall use the proceeds from any such insurance for the replacement of personal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trade fixtures, Tenant Improvements, Original Improvements and Alterations.</w:t>
      </w:r>
    </w:p>
    <w:p>
      <w:pPr>
        <w:spacing w:after="0" w:line="152" w:lineRule="exact"/>
        <w:rPr>
          <w:sz w:val="20"/>
          <w:szCs w:val="20"/>
          <w:color w:val="auto"/>
        </w:rPr>
      </w:pPr>
    </w:p>
    <w:p>
      <w:pPr>
        <w:jc w:val="both"/>
        <w:ind w:firstLine="25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10.3.2.3. </w:t>
      </w:r>
      <w:r>
        <w:rPr>
          <w:rFonts w:ascii="Times New Roman" w:cs="Times New Roman" w:eastAsia="Times New Roman" w:hAnsi="Times New Roman"/>
          <w:sz w:val="20"/>
          <w:szCs w:val="20"/>
          <w:color w:val="auto"/>
        </w:rPr>
        <w:t>Landlord makes no representation that the limits or forms of coverage of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specified herein are adequate to cover Tenant’s property, business operations or obligations under this Lease.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type w:val="continuous"/>
        </w:sectPr>
      </w:pPr>
    </w:p>
    <w:bookmarkStart w:id="428" w:name="page429"/>
    <w:bookmarkEnd w:id="428"/>
    <w:p>
      <w:pPr>
        <w:jc w:val="both"/>
        <w:ind w:firstLine="166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10.3.3. </w:t>
      </w:r>
      <w:r>
        <w:rPr>
          <w:rFonts w:ascii="Times New Roman" w:cs="Times New Roman" w:eastAsia="Times New Roman" w:hAnsi="Times New Roman"/>
          <w:sz w:val="20"/>
          <w:szCs w:val="20"/>
          <w:color w:val="auto"/>
        </w:rPr>
        <w:t>Worker’s Compensation and Employer’s Liability or other similar insurance pursuant to all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and local statutes and regulations.</w:t>
      </w:r>
    </w:p>
    <w:p>
      <w:pPr>
        <w:spacing w:after="0" w:line="152"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10.4 </w:t>
      </w:r>
      <w:r>
        <w:rPr>
          <w:rFonts w:ascii="Times New Roman" w:cs="Times New Roman" w:eastAsia="Times New Roman" w:hAnsi="Times New Roman"/>
          <w:sz w:val="20"/>
          <w:szCs w:val="20"/>
          <w:b w:val="1"/>
          <w:bCs w:val="1"/>
          <w:u w:val="single" w:color="auto"/>
          <w:color w:val="auto"/>
        </w:rPr>
        <w:t>Form of Policies</w:t>
      </w:r>
      <w:r>
        <w:rPr>
          <w:rFonts w:ascii="Times New Roman" w:cs="Times New Roman" w:eastAsia="Times New Roman" w:hAnsi="Times New Roman"/>
          <w:sz w:val="20"/>
          <w:szCs w:val="20"/>
          <w:color w:val="auto"/>
        </w:rPr>
        <w:t>The minimum limits of policies of insurance required of Tenant under this Lease shall in no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limit the liability of Tenant under this Lease. Such insurance shall (i) name Landlord, and any other party the Landlord so specifies, as an additional insured, including Landlord’s managing agent, if any; (ii) specifically cover the liability assumed by Tenant under this Lease, including, but not limited to, Tenant’s obligations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this Lease; (iii) be issued by an insurance company having a rating of not less than A-X in Best’s Insurance Guide or which is otherwise acceptable to Landlord and licensed to do business in the State of Washington; (iv) be primary insurance as to all claims thereunder and provide that any insurance carried by Landlord is excess and is non-contributing with any insurance requirement of Tenant; (v) be in form and content reasonably acceptable to Landlord; and (vi) provide that said insurance shall not be canceled or coverage changed unless thirty (30) days’ prior written notice shall have been given to Landlord and any mortgagee of Landlord. All commercial general liability and property damage liability policies maintained by Tenant will contain a provision that Landlord and any other additional insured, although named as an insured, will nevertheless be entitled to recover under such policies for any loss sustained by Landlord, Landlord’s agents, and Landlord’s employees as a result of the acts or omissions of Tenant. No insurance required to be maintained by Tenant by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will be subject to any deductible exceeding $10,000.00 without Landlord’s prior written consent. Tenant shall deliver said policy or policies or certificates thereof to Landlord on or before the Lease Commencement Date and at least thirty (30) days before the expiration dates thereof. In the event Tenant shall fail to procure such insurance, or to deliver such policies or certificate, Landlord may, in its sole discretion, procure such policies for the account of Tenant, and the cost thereof shall be paid to Landlord within five (5) days after delivery to Tenant of bills therefor.</w:t>
      </w:r>
    </w:p>
    <w:p>
      <w:pPr>
        <w:spacing w:after="0" w:line="193"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10.5 </w:t>
      </w:r>
      <w:r>
        <w:rPr>
          <w:rFonts w:ascii="Times New Roman" w:cs="Times New Roman" w:eastAsia="Times New Roman" w:hAnsi="Times New Roman"/>
          <w:sz w:val="20"/>
          <w:szCs w:val="20"/>
          <w:b w:val="1"/>
          <w:bCs w:val="1"/>
          <w:u w:val="single" w:color="auto"/>
          <w:color w:val="auto"/>
        </w:rPr>
        <w:t>Subrogation</w:t>
      </w:r>
      <w:r>
        <w:rPr>
          <w:rFonts w:ascii="Times New Roman" w:cs="Times New Roman" w:eastAsia="Times New Roman" w:hAnsi="Times New Roman"/>
          <w:sz w:val="20"/>
          <w:szCs w:val="20"/>
          <w:color w:val="auto"/>
        </w:rPr>
        <w:t>Landlord and Tenant intend that their respective property loss risks shall be borne by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insurance carriers to the extent above provided, and Landlord and Tenant hereby agree to look solely to, and seek recovery only from, their respective insurance carriers in the event of a property loss to the extent that such coverage is agreed to be provided hereunder and is actually obtained in the event of a covered loss. The parties each hereby waive all rights and claims against each other for such losses, and waive all rights of subrogation of their respective insurers. The parties agree that their respective insurance policies are now, or shall be, endorsed such that the waiver of subrogation shall not affect the right of the insured to recover thereunder, so long as no material additional premium is charged therefor. Tenant will cause all other occupants of the Premises claiming by, under, or through Tenant to execute and deliver to Landlord a waiver of claims similar to the waiver in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and to obtain such waiver of subrogation rights endorsements.</w:t>
      </w:r>
    </w:p>
    <w:p>
      <w:pPr>
        <w:spacing w:after="0" w:line="182"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10.6 </w:t>
      </w:r>
      <w:r>
        <w:rPr>
          <w:rFonts w:ascii="Times New Roman" w:cs="Times New Roman" w:eastAsia="Times New Roman" w:hAnsi="Times New Roman"/>
          <w:sz w:val="20"/>
          <w:szCs w:val="20"/>
          <w:b w:val="1"/>
          <w:bCs w:val="1"/>
          <w:u w:val="single" w:color="auto"/>
          <w:color w:val="auto"/>
        </w:rPr>
        <w:t>Additional Insurance Obligations</w:t>
      </w:r>
      <w:r>
        <w:rPr>
          <w:rFonts w:ascii="Times New Roman" w:cs="Times New Roman" w:eastAsia="Times New Roman" w:hAnsi="Times New Roman"/>
          <w:sz w:val="20"/>
          <w:szCs w:val="20"/>
          <w:color w:val="auto"/>
        </w:rPr>
        <w:t>Tenant shall carry and maintain during the entire Lease Term, at Tenant’s sole cost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expense, increased amounts of the insurance required to be carried by Tenant pursuant to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and such other reasonable types of insurance coverage and in such reasonable amounts covering the Premises and Tenant’s operations therein, as may be reasonably requested by Landlord.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29" w:name="page430"/>
    <w:bookmarkEnd w:id="429"/>
    <w:p>
      <w:pPr>
        <w:jc w:val="both"/>
        <w:ind w:firstLine="832"/>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10.7 </w:t>
      </w:r>
      <w:r>
        <w:rPr>
          <w:rFonts w:ascii="Times New Roman" w:cs="Times New Roman" w:eastAsia="Times New Roman" w:hAnsi="Times New Roman"/>
          <w:sz w:val="20"/>
          <w:szCs w:val="20"/>
          <w:b w:val="1"/>
          <w:bCs w:val="1"/>
          <w:u w:val="single" w:color="auto"/>
          <w:color w:val="auto"/>
        </w:rPr>
        <w:t>Third-Party Contractors</w:t>
      </w:r>
      <w:r>
        <w:rPr>
          <w:rFonts w:ascii="Times New Roman" w:cs="Times New Roman" w:eastAsia="Times New Roman" w:hAnsi="Times New Roman"/>
          <w:sz w:val="20"/>
          <w:szCs w:val="20"/>
          <w:color w:val="auto"/>
        </w:rPr>
        <w:t>Tenant shall obtain and deliver to Landlord, Third Party Contractor’s certificates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and applicable endorsements at least seven (7) business days prior to the commencement of work in or about the Premises by any vendor or any other third-party contractor (collectively, a “</w:t>
      </w:r>
      <w:r>
        <w:rPr>
          <w:rFonts w:ascii="Times New Roman" w:cs="Times New Roman" w:eastAsia="Times New Roman" w:hAnsi="Times New Roman"/>
          <w:sz w:val="20"/>
          <w:szCs w:val="20"/>
          <w:b w:val="1"/>
          <w:bCs w:val="1"/>
          <w:color w:val="auto"/>
        </w:rPr>
        <w:t>Third Party Contractor</w:t>
      </w:r>
      <w:r>
        <w:rPr>
          <w:rFonts w:ascii="Times New Roman" w:cs="Times New Roman" w:eastAsia="Times New Roman" w:hAnsi="Times New Roman"/>
          <w:sz w:val="20"/>
          <w:szCs w:val="20"/>
          <w:color w:val="auto"/>
        </w:rPr>
        <w:t xml:space="preserve">”). All such insurance shall (a) name Landlord as an additional insured under such party’s liability policies as required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above and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(b) provide a waiver of subrogation in favor of Landlord under such Third Party Contractor’s commercial general liability insurance, (c) be primary and any insurance carried by Landlord shall be excess and noncontributing, and (d) comply with Landlord’s minimum insurance requirements.</w:t>
      </w:r>
    </w:p>
    <w:p>
      <w:pPr>
        <w:spacing w:after="0" w:line="179"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DAMAGE AND DESTRUCTION</w:t>
      </w:r>
    </w:p>
    <w:p>
      <w:pPr>
        <w:spacing w:after="0" w:line="190"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11.1 </w:t>
      </w:r>
      <w:r>
        <w:rPr>
          <w:rFonts w:ascii="Times New Roman" w:cs="Times New Roman" w:eastAsia="Times New Roman" w:hAnsi="Times New Roman"/>
          <w:sz w:val="20"/>
          <w:szCs w:val="20"/>
          <w:b w:val="1"/>
          <w:bCs w:val="1"/>
          <w:u w:val="single" w:color="auto"/>
          <w:color w:val="auto"/>
        </w:rPr>
        <w:t>Repair of Damage to Premises by Landlord</w:t>
      </w:r>
      <w:r>
        <w:rPr>
          <w:rFonts w:ascii="Times New Roman" w:cs="Times New Roman" w:eastAsia="Times New Roman" w:hAnsi="Times New Roman"/>
          <w:sz w:val="20"/>
          <w:szCs w:val="20"/>
          <w:color w:val="auto"/>
        </w:rPr>
        <w:t>If the Premises or any Common Areas of the Building serving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restore the base, shell and core of the Premises and such Common Areas. Such restoration shall be to substantially the same condition of the base, shell and core of the Premises and Common Areas prior to the casualty, except for modifications required by zoning and building codes and other laws or by the holder of a mortgage on the Building, or any other modifications to the Common Areas deemed desirable by Landlord, provided access to the Premises and any common restrooms serving the Premises shall not be materially impaired. Notwithstanding any other provision of this Lease, upon the occurrence of any damage to the Premises, Tenant shall assign to Landlord (or to any party designated by Landlord) all insurance proceeds payable to Tenant under Tenant’s insurance carried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of this Lease with respect to the Tenant Improvements, any improvements to the Premises existing as of the Lease Commencement Date, and any Alterations made by or for the benefit of Tenant to the Premises, and Landlord shall repair any injury or damage to the tenant improvements installed in the Premises and shall return such tenant improvements to their original condition; provided that if the cost of such repair by Landlord exceeds the amount of insurance proceeds received by Landlord from Tenant’s insurance carrier, as assigned by Tenant, the cost of such repairs shall be paid by Tenant to Landlord prior to Landlord’s repair of the damage. In connection with such repairs and replacements, Tenant shall, prior to the commencement of construction, submit to Landlord, for Landlord’s review and approval, all plans, specifications and working drawings relating thereto, and Landlord shall select the contractors to perform such improvement work. Landlord shall not be liable for any inconvenience or annoyance to Tenant or any other Tenant Parties, or injury to Tenant’s business resulting in any way from such damage or the repair thereof; provided however, that if such fire or other casualty shall have damaged the Premises or Common Areas necessary to Tenant’s occupancy, and if such damage is not the result of the gross negligence or willful misconduct of Tenant or any other Tenant Party, Landlord shall allow Tenant a proportionate abatement of Rent, during the time and to the extent the Premises are unfit for occupancy for the purposes permitted under this Lease, and not occupied by Tenant as a result thereof.</w:t>
      </w:r>
    </w:p>
    <w:p>
      <w:pPr>
        <w:spacing w:after="0" w:line="186"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11.2 </w:t>
      </w:r>
      <w:r>
        <w:rPr>
          <w:rFonts w:ascii="Times New Roman" w:cs="Times New Roman" w:eastAsia="Times New Roman" w:hAnsi="Times New Roman"/>
          <w:sz w:val="20"/>
          <w:szCs w:val="20"/>
          <w:b w:val="1"/>
          <w:bCs w:val="1"/>
          <w:u w:val="single" w:color="auto"/>
          <w:color w:val="auto"/>
        </w:rPr>
        <w:t>Landlord’s Option to Repair</w:t>
      </w:r>
      <w:r>
        <w:rPr>
          <w:rFonts w:ascii="Times New Roman" w:cs="Times New Roman" w:eastAsia="Times New Roman" w:hAnsi="Times New Roman"/>
          <w:sz w:val="20"/>
          <w:szCs w:val="20"/>
          <w:color w:val="auto"/>
        </w:rPr>
        <w:t>Notwithstanding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Lease, Landlord may elect not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rebuild and/or restore the Premises and/or Building and instead terminate this Lease by notifying Tenant in writing of such termination within sixty (60) days after the date of discovery of such damage, such notice to include a termination date giving Tenant ninety (90) days to vacate the Premises, but Landlord may so elect only if the Building shall be damaged by fire or other casualty or cause, whether or not the Premises are affected, and one or more of the following conditions is present: (i) repairs cannot reasonably be completed within one hundred eighty</w:t>
      </w:r>
    </w:p>
    <w:p>
      <w:pPr>
        <w:spacing w:after="0" w:line="4" w:lineRule="exact"/>
        <w:rPr>
          <w:sz w:val="20"/>
          <w:szCs w:val="20"/>
          <w:color w:val="auto"/>
        </w:rPr>
      </w:pPr>
    </w:p>
    <w:p>
      <w:pPr>
        <w:jc w:val="both"/>
        <w:ind w:firstLine="8"/>
        <w:spacing w:after="0" w:line="242" w:lineRule="auto"/>
        <w:tabs>
          <w:tab w:leader="none" w:pos="496"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date of discovery of damage (when such repairs are made without the payment of overtime or other premiums); (ii) the holder of any mortgage on the Building shall require that the insurance proceeds or any portion thereof be used to retire the mortgage debt; or (iii) the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30" w:name="page431"/>
    <w:bookmarkEnd w:id="430"/>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damage is not fully covered, except for deductible amounts, by Landlord’s insurance policies. In addition, in the event that the Premises or the Building is destroyed or damaged to any substantial extent during the last twelve (12) months of the Lease Term, then notwithstanding anything contained in this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Landlord shall have the option to terminate this Lease by giving written notice to Tenant of the exercise of such option within thirty (30) days after the date of such damage or destruction, in which event this Lease shall cease and terminate as of the date of such notice. Upon any such termination of this Lease pursuant to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Tenant shall pay the Base Rent and Additional Rent, properly apportioned up to such date of termination, and both parties hereto shall thereafter be freed and discharged of all further obligations hereunder, except as provided for in provisions of this Lease which by their terms survive the expiration or earlier termination of the Lease Term.</w:t>
      </w:r>
    </w:p>
    <w:p>
      <w:pPr>
        <w:spacing w:after="0" w:line="185"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11.3 </w:t>
      </w:r>
      <w:r>
        <w:rPr>
          <w:rFonts w:ascii="Times New Roman" w:cs="Times New Roman" w:eastAsia="Times New Roman" w:hAnsi="Times New Roman"/>
          <w:sz w:val="20"/>
          <w:szCs w:val="20"/>
          <w:b w:val="1"/>
          <w:bCs w:val="1"/>
          <w:u w:val="single" w:color="auto"/>
          <w:color w:val="auto"/>
        </w:rPr>
        <w:t>Waiver of Statutory Provisions</w:t>
      </w:r>
      <w:r>
        <w:rPr>
          <w:rFonts w:ascii="Times New Roman" w:cs="Times New Roman" w:eastAsia="Times New Roman" w:hAnsi="Times New Roman"/>
          <w:sz w:val="20"/>
          <w:szCs w:val="20"/>
          <w:color w:val="auto"/>
        </w:rPr>
        <w:t>The provisions of this Lease, including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constitute an express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between Landlord and Tenant with respect to any and all damage to, or destruction of, all or any part of the Premises, the Building or any other portion of the Project, and any statute or regulation of the state in which the Building is located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any other portion of the Project.</w:t>
      </w:r>
    </w:p>
    <w:p>
      <w:pPr>
        <w:spacing w:after="0" w:line="17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NON-WAIVER</w:t>
      </w:r>
    </w:p>
    <w:p>
      <w:pPr>
        <w:spacing w:after="0" w:line="194"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0"/>
          <w:szCs w:val="20"/>
          <w:color w:val="auto"/>
        </w:rPr>
        <w:t>No waiver of any provision of this Lease shall be implied by any failure of Landlord to enforce any remedy on account of the violation of such provision, even if such violation shall continue or be repeated subsequently. Any waiver by Landlord of any provision of this Lease may only be in writing, and no express waiver shall affect any provision other than the one specified in such waiver and that one only for the time and in the manner specifically stated. No delay or omission of either party to exercise any right or remedy shall be construed as a waiver of any such right or remedy or of any default by the other party hereunder.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82"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13.</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CONDEMNATION</w:t>
      </w:r>
    </w:p>
    <w:p>
      <w:pPr>
        <w:spacing w:after="0" w:line="194" w:lineRule="exact"/>
        <w:rPr>
          <w:sz w:val="20"/>
          <w:szCs w:val="20"/>
          <w:color w:val="auto"/>
        </w:rPr>
      </w:pPr>
    </w:p>
    <w:p>
      <w:pPr>
        <w:jc w:val="both"/>
        <w:ind w:firstLine="832"/>
        <w:spacing w:after="0" w:line="258" w:lineRule="auto"/>
        <w:rPr>
          <w:sz w:val="20"/>
          <w:szCs w:val="20"/>
          <w:color w:val="auto"/>
        </w:rPr>
      </w:pPr>
      <w:r>
        <w:rPr>
          <w:rFonts w:ascii="Times New Roman" w:cs="Times New Roman" w:eastAsia="Times New Roman" w:hAnsi="Times New Roman"/>
          <w:sz w:val="19"/>
          <w:szCs w:val="19"/>
          <w:color w:val="auto"/>
        </w:rPr>
        <w:t>If the whole or any material part of the Premises or Building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or Building, or if Landlord shall grant a deed or other instrument in lieu of such taking by eminent domain or condemnation, Landlord shall have the option to terminate this Lease upon ninety (90) days’ notice, provided such notice is given no later than one hundred eighty (180) days after the date of such taking, condemnation, reconfiguration, vacation, deed or other instrument. If more than twenty-five percent (25%) of the rentable square feet of the Premises is taken, or if access to the Premises is substantially impaired, in each case for a period in excess of one hundred eighty (180) days, Tenant shall have the option to terminate this Lease upon ninety (90) days’ notice, provided such notice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1" w:name="page432"/>
    <w:bookmarkEnd w:id="431"/>
    <w:p>
      <w:pPr>
        <w:jc w:val="both"/>
        <w:spacing w:after="0" w:line="244" w:lineRule="auto"/>
        <w:rPr>
          <w:sz w:val="20"/>
          <w:szCs w:val="20"/>
          <w:color w:val="auto"/>
        </w:rPr>
      </w:pPr>
      <w:r>
        <w:rPr>
          <w:rFonts w:ascii="Times New Roman" w:cs="Times New Roman" w:eastAsia="Times New Roman" w:hAnsi="Times New Roman"/>
          <w:sz w:val="20"/>
          <w:szCs w:val="20"/>
          <w:color w:val="auto"/>
        </w:rPr>
        <w:t>is given no later than two hundred ten (210) days after the date of such taking. Landlord shall be entitled to receive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 does not diminish the award available to Landlord, its ground lessor with respect to the Real Property or its mortgagee, and such claim is payable separately to Tenant. All Rent shall be apportioned as of the date of such termination, or the date of such taking, whichever shall first occur. If any part of the Premises shall be taken, and this Lease shall not be so terminated, the Rent shall be proportionately abated.</w:t>
      </w:r>
    </w:p>
    <w:p>
      <w:pPr>
        <w:spacing w:after="0" w:line="182"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14.</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ASSIGNMENT AND SUBLETTING</w:t>
      </w:r>
    </w:p>
    <w:p>
      <w:pPr>
        <w:spacing w:after="0" w:line="190"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14.1 </w:t>
      </w:r>
      <w:r>
        <w:rPr>
          <w:rFonts w:ascii="Times New Roman" w:cs="Times New Roman" w:eastAsia="Times New Roman" w:hAnsi="Times New Roman"/>
          <w:sz w:val="20"/>
          <w:szCs w:val="20"/>
          <w:b w:val="1"/>
          <w:bCs w:val="1"/>
          <w:u w:val="single" w:color="auto"/>
          <w:color w:val="auto"/>
        </w:rPr>
        <w:t>Transfers.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shall not, without the prior written consent of Landlord, assign, mortgage, pledge, hypothecate,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Times New Roman" w:cs="Times New Roman" w:eastAsia="Times New Roman" w:hAnsi="Times New Roman"/>
          <w:sz w:val="20"/>
          <w:szCs w:val="20"/>
          <w:b w:val="1"/>
          <w:bCs w:val="1"/>
          <w:color w:val="auto"/>
        </w:rPr>
        <w:t>Transfers</w:t>
      </w:r>
      <w:r>
        <w:rPr>
          <w:rFonts w:ascii="Times New Roman" w:cs="Times New Roman" w:eastAsia="Times New Roman" w:hAnsi="Times New Roman"/>
          <w:sz w:val="20"/>
          <w:szCs w:val="20"/>
          <w:color w:val="auto"/>
        </w:rPr>
        <w:t>” and any person to whom any Transfer is made or sought to be made is hereinafter sometimes referred to as a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To request Landlord’s consent to any Transfer, Tenant shall notify Landlord in writing, which notice (the “</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shall include (i) the proposed effective date of the Transfer, which shall not be less than forty-five (45) days after the date of delivery of the Transfer Notice, (ii) a description of the portion of the Premises to be transferred (the “</w:t>
      </w:r>
      <w:r>
        <w:rPr>
          <w:rFonts w:ascii="Times New Roman" w:cs="Times New Roman" w:eastAsia="Times New Roman" w:hAnsi="Times New Roman"/>
          <w:sz w:val="20"/>
          <w:szCs w:val="20"/>
          <w:b w:val="1"/>
          <w:bCs w:val="1"/>
          <w:color w:val="auto"/>
        </w:rPr>
        <w:t>Subject Space</w:t>
      </w:r>
      <w:r>
        <w:rPr>
          <w:rFonts w:ascii="Times New Roman" w:cs="Times New Roman" w:eastAsia="Times New Roman" w:hAnsi="Times New Roman"/>
          <w:sz w:val="20"/>
          <w:szCs w:val="20"/>
          <w:color w:val="auto"/>
        </w:rPr>
        <w:t xml:space="preserve">”), (iii) all of the terms of the proposed Transfer and the consideration therefor, including a calculation of the “Transfer Premium” (as defined in </w:t>
      </w:r>
      <w:r>
        <w:rPr>
          <w:rFonts w:ascii="Times New Roman" w:cs="Times New Roman" w:eastAsia="Times New Roman" w:hAnsi="Times New Roman"/>
          <w:sz w:val="20"/>
          <w:szCs w:val="20"/>
          <w:u w:val="single" w:color="auto"/>
          <w:color w:val="auto"/>
        </w:rPr>
        <w:t>Section 14.3</w:t>
      </w:r>
      <w:r>
        <w:rPr>
          <w:rFonts w:ascii="Times New Roman" w:cs="Times New Roman" w:eastAsia="Times New Roman" w:hAnsi="Times New Roman"/>
          <w:sz w:val="20"/>
          <w:szCs w:val="20"/>
          <w:color w:val="auto"/>
        </w:rPr>
        <w:t xml:space="preserve"> below), in connection with such Transfer, the name and address of the proposed Transferee, and a copy of all existing and/or proposed documentation pertaining to the proposed Transfer, including all existing operative documents to be executed to evidence such Transfer or the agreements incidental or related to such Transfer, (iv) current financial statements of the proposed Transferee certified by an officer, partner or owner thereof, and any other information reasonably required by Landlord which will enable Landlord to determine the financial responsibility, character, and reputation of the proposed transferee; the nature of such Transferee’s business; the proposed use of the Subject Space, (v) an executed estoppel certificate from Tenant in the form attached hereto as </w:t>
      </w:r>
      <w:r>
        <w:rPr>
          <w:rFonts w:ascii="Times New Roman" w:cs="Times New Roman" w:eastAsia="Times New Roman" w:hAnsi="Times New Roman"/>
          <w:sz w:val="20"/>
          <w:szCs w:val="20"/>
          <w:b w:val="1"/>
          <w:bCs w:val="1"/>
          <w:u w:val="single" w:color="auto"/>
          <w:color w:val="auto"/>
        </w:rPr>
        <w:t>Exhibit</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20"/>
          <w:szCs w:val="20"/>
          <w:color w:val="auto"/>
        </w:rPr>
        <w:t>, and (vi) such other information as Landlord may reasonably require. Any Transfer made without Landlord’s prior written consent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at Landlord’s option, be null, void and of no effect, and shall, at Landlord’s option, constitute a default by Tenant under this Lease. Whether or not Landlord consents to any proposed Transfer, Tenant shall pay Landlord’s review and processing fees, as well as any reasonable professional fees in an amount not to exceed $2,000 as may be adjusted by inflation over the Lease Term (including, without limitation, attorneys’, accountants’, architects’, engineers’ and consultants’ fees) incurred by Landlord, within thirty (30) days after written request by Landlord.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2" w:name="page433"/>
    <w:bookmarkEnd w:id="432"/>
    <w:p>
      <w:pPr>
        <w:jc w:val="both"/>
        <w:ind w:firstLine="832"/>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14.2 </w:t>
      </w:r>
      <w:r>
        <w:rPr>
          <w:rFonts w:ascii="Times New Roman" w:cs="Times New Roman" w:eastAsia="Times New Roman" w:hAnsi="Times New Roman"/>
          <w:sz w:val="20"/>
          <w:szCs w:val="20"/>
          <w:b w:val="1"/>
          <w:bCs w:val="1"/>
          <w:u w:val="single" w:color="auto"/>
          <w:color w:val="auto"/>
        </w:rPr>
        <w:t>Landlord’s Consent.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shall not unreasonably withhold, condition or delay its consent to any proposed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 (i) Transferee is of a character or reputation or engaged in a business which is not consistent with the quality of the Building or the Project, or would be a significantly less prestigious occupant of the Building than Tenant; (ii) Transferee is not a party of reasonable financial worth and/or financial stability in light of the responsibilities to be undertaken in connection with the Transfer on the date consent is requested; (iii) Transferee intends to use the Subject Space for purposes which are not permitted under this Lease; (iv) Transferee is either a governmental agency or instrumentality thereof; (v) the proposed Transfer would cause a violation of another lease for space in the Project, or would give an occupant of the Project a right to cancel its lease; or (vi) either the proposed Transferee, or any person which directly or indirectly, controls, is controlled by, or is under common control with, the proposed Transferee. Notwithstanding anything to the contrary in this Lease, if Tenant or any proposed Transferee claims that Landlord has unreasonably withheld or delayed its consent under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or otherwise has breached or acted unreasonably under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their sole remedies shall be a declaratory judgment and an injunction for the relief sought without any monetary damages, and Tenant hereby waives all other remedies, including, without limitation, any right at law or equity to terminate this Lease, on its own behalf and, to the extent permitted under all applicable laws, on behalf of the proposed Transferee. If Landlord consents to any Transfer pursuant to the terms of this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(and does not exercise any recapture rights Landlord may have under </w:t>
      </w:r>
      <w:r>
        <w:rPr>
          <w:rFonts w:ascii="Times New Roman" w:cs="Times New Roman" w:eastAsia="Times New Roman" w:hAnsi="Times New Roman"/>
          <w:sz w:val="20"/>
          <w:szCs w:val="20"/>
          <w:u w:val="single" w:color="auto"/>
          <w:color w:val="auto"/>
        </w:rPr>
        <w:t>Section 14.4</w:t>
      </w:r>
      <w:r>
        <w:rPr>
          <w:rFonts w:ascii="Times New Roman" w:cs="Times New Roman" w:eastAsia="Times New Roman" w:hAnsi="Times New Roman"/>
          <w:sz w:val="20"/>
          <w:szCs w:val="20"/>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of this Lease. Tenant shall indemnify, defend and hold harmless Landlord from any and all liability, losses, claims, damages, costs, expenses, causes of action and proceedings involving any third party or parties (including without limitation Tenant’s proposed subtenant or assignee) who claim they were damaged by Landlord’s wrongful withholding or conditioning of Landlord’s consent.</w:t>
      </w:r>
    </w:p>
    <w:p>
      <w:pPr>
        <w:spacing w:after="0" w:line="184"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14.3 </w:t>
      </w:r>
      <w:r>
        <w:rPr>
          <w:rFonts w:ascii="Times New Roman" w:cs="Times New Roman" w:eastAsia="Times New Roman" w:hAnsi="Times New Roman"/>
          <w:sz w:val="20"/>
          <w:szCs w:val="20"/>
          <w:b w:val="1"/>
          <w:bCs w:val="1"/>
          <w:u w:val="single" w:color="auto"/>
          <w:color w:val="auto"/>
        </w:rPr>
        <w:t>Transfer Premium.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Landlord consents to a proposed Transfer, as a condition thereto which the parties hereby agree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is reasonable, Tenant shall pay to Landlord fifty percent (50%) of any “Transfer Premium,” as that term is defined in this </w:t>
      </w:r>
      <w:r>
        <w:rPr>
          <w:rFonts w:ascii="Times New Roman" w:cs="Times New Roman" w:eastAsia="Times New Roman" w:hAnsi="Times New Roman"/>
          <w:sz w:val="20"/>
          <w:szCs w:val="20"/>
          <w:u w:val="single" w:color="auto"/>
          <w:color w:val="auto"/>
        </w:rPr>
        <w:t>Section 14.3</w:t>
      </w:r>
      <w:r>
        <w:rPr>
          <w:rFonts w:ascii="Times New Roman" w:cs="Times New Roman" w:eastAsia="Times New Roman" w:hAnsi="Times New Roman"/>
          <w:sz w:val="20"/>
          <w:szCs w:val="20"/>
          <w:color w:val="auto"/>
        </w:rPr>
        <w:t>, received by Tenant from such Transferee. “</w:t>
      </w:r>
      <w:r>
        <w:rPr>
          <w:rFonts w:ascii="Times New Roman" w:cs="Times New Roman" w:eastAsia="Times New Roman" w:hAnsi="Times New Roman"/>
          <w:sz w:val="20"/>
          <w:szCs w:val="20"/>
          <w:b w:val="1"/>
          <w:bCs w:val="1"/>
          <w:color w:val="auto"/>
        </w:rPr>
        <w:t>Transfer Premium</w:t>
      </w:r>
      <w:r>
        <w:rPr>
          <w:rFonts w:ascii="Times New Roman" w:cs="Times New Roman" w:eastAsia="Times New Roman" w:hAnsi="Times New Roman"/>
          <w:sz w:val="20"/>
          <w:szCs w:val="20"/>
          <w:color w:val="auto"/>
        </w:rPr>
        <w:t>” shall mean all rent, additional rent or other consideration payable by such Transferee in connection with the Transfer in excess of the Base Rent and Additional Rent payable by Tenant under this Lease during the term of the Transfer (on a per rentable square foot basis if less than all of the Premises is transferred); provided, however, such Transfer Premium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33" w:name="page434"/>
    <w:bookmarkEnd w:id="433"/>
    <w:p>
      <w:pPr>
        <w:jc w:val="both"/>
        <w:ind w:firstLine="832"/>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14.4 </w:t>
      </w:r>
      <w:r>
        <w:rPr>
          <w:rFonts w:ascii="Times New Roman" w:cs="Times New Roman" w:eastAsia="Times New Roman" w:hAnsi="Times New Roman"/>
          <w:sz w:val="19"/>
          <w:szCs w:val="19"/>
          <w:b w:val="1"/>
          <w:bCs w:val="1"/>
          <w:u w:val="single" w:color="auto"/>
          <w:color w:val="auto"/>
        </w:rPr>
        <w:t>Landlord’s Option as to Subject Space.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anything to the contrary contained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Article 14</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Landlord shall have the option, by giving written notice to Tenant within ten (10) days after receipt of any Transfer Notice, to recapture the Subject Space if an only if the Subject Space is comprised of the entire Premises. Such recapture notice shall cancel and terminate this Lease with respect to the Subject Space as of the effective date of the proposed Transfer.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the Subject Space under this </w:t>
      </w:r>
      <w:r>
        <w:rPr>
          <w:rFonts w:ascii="Times New Roman" w:cs="Times New Roman" w:eastAsia="Times New Roman" w:hAnsi="Times New Roman"/>
          <w:sz w:val="19"/>
          <w:szCs w:val="19"/>
          <w:u w:val="single" w:color="auto"/>
          <w:color w:val="auto"/>
        </w:rPr>
        <w:t>Section 14.4</w:t>
      </w:r>
      <w:r>
        <w:rPr>
          <w:rFonts w:ascii="Times New Roman" w:cs="Times New Roman" w:eastAsia="Times New Roman" w:hAnsi="Times New Roman"/>
          <w:sz w:val="19"/>
          <w:szCs w:val="19"/>
          <w:color w:val="auto"/>
        </w:rPr>
        <w:t xml:space="preserve">, then, provided Landlord has consented to the proposed Transfer, Tenant shall be entitled to proceed to transfer the Subject Space to the proposed Transferee, subject to provisions of this </w:t>
      </w:r>
      <w:r>
        <w:rPr>
          <w:rFonts w:ascii="Times New Roman" w:cs="Times New Roman" w:eastAsia="Times New Roman" w:hAnsi="Times New Roman"/>
          <w:sz w:val="19"/>
          <w:szCs w:val="19"/>
          <w:u w:val="single" w:color="auto"/>
          <w:color w:val="auto"/>
        </w:rPr>
        <w:t>Article 14</w:t>
      </w:r>
      <w:r>
        <w:rPr>
          <w:rFonts w:ascii="Times New Roman" w:cs="Times New Roman" w:eastAsia="Times New Roman" w:hAnsi="Times New Roman"/>
          <w:sz w:val="19"/>
          <w:szCs w:val="19"/>
          <w:color w:val="auto"/>
        </w:rPr>
        <w:t xml:space="preserve">. In the event of a Landlord recapture of the Subject Space, and notwithstanding </w:t>
      </w:r>
      <w:r>
        <w:rPr>
          <w:rFonts w:ascii="Times New Roman" w:cs="Times New Roman" w:eastAsia="Times New Roman" w:hAnsi="Times New Roman"/>
          <w:sz w:val="19"/>
          <w:szCs w:val="19"/>
          <w:u w:val="single" w:color="auto"/>
          <w:color w:val="auto"/>
        </w:rPr>
        <w:t>Section 14.5</w:t>
      </w:r>
      <w:r>
        <w:rPr>
          <w:rFonts w:ascii="Times New Roman" w:cs="Times New Roman" w:eastAsia="Times New Roman" w:hAnsi="Times New Roman"/>
          <w:sz w:val="19"/>
          <w:szCs w:val="19"/>
          <w:color w:val="auto"/>
        </w:rPr>
        <w:t xml:space="preserve"> below, Tenant shall have no further responsibility under this Lease with respect to the Subject Space except for those terms that expressly survive termination.</w:t>
      </w:r>
    </w:p>
    <w:p>
      <w:pPr>
        <w:spacing w:after="0" w:line="177"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14.5 </w:t>
      </w:r>
      <w:r>
        <w:rPr>
          <w:rFonts w:ascii="Times New Roman" w:cs="Times New Roman" w:eastAsia="Times New Roman" w:hAnsi="Times New Roman"/>
          <w:sz w:val="20"/>
          <w:szCs w:val="20"/>
          <w:b w:val="1"/>
          <w:bCs w:val="1"/>
          <w:u w:val="single" w:color="auto"/>
          <w:color w:val="auto"/>
        </w:rPr>
        <w:t>Effect of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Landlord consents to a Transfer, (i) the TCCs of this Lease shall in no way be deemed to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this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190"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14.6 </w:t>
      </w:r>
      <w:r>
        <w:rPr>
          <w:rFonts w:ascii="Times New Roman" w:cs="Times New Roman" w:eastAsia="Times New Roman" w:hAnsi="Times New Roman"/>
          <w:sz w:val="20"/>
          <w:szCs w:val="20"/>
          <w:b w:val="1"/>
          <w:bCs w:val="1"/>
          <w:u w:val="single" w:color="auto"/>
          <w:color w:val="auto"/>
        </w:rPr>
        <w:t>Additional Transfers.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Lease, the term “Transfer” shall also include (i) if Tenant is a partnership,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withdrawal or change, voluntary, involuntary or by operation of law, of twenty-five percent (25%) or more of the partners, or transfer of twenty-five percent (25%) or more of partnership interests, within a twelve (12)-month period, or the dissolution of the partnership without immediate reconstitution thereof; (ii) if Tenant is a limited liability company, the withdrawal or change, voluntary, involuntary or by operation of law, of twenty-five percent (25%) or more of the members, or transfer of twenty-five percent (25%) or more of membership interests, within a twelve (12)-month period, or the dissolution of the company without immediate reconstitution thereof; and (iii) if Tenant is a closely held corporation (i.e., whose stock is not publicly held and not traded through an exchange or over the counter), (A) the dissolution, merger, consolidation or other reorganization of Tenant, the sale or other transfer of more than an aggregate of twenty-five percent (25%) of the voting shares of Tenant (other than to immediate family members by reason of gift or death), within a twelve (12)-month period, or (C) the sale, mortgage, hypothecation or pledge of more than an aggregate of twenty-five percent (25%) of the value of the unencumbered assets of Tenant within a twelve (12)-month period.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34" w:name="page435"/>
    <w:bookmarkEnd w:id="434"/>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14.7 </w:t>
      </w:r>
      <w:r>
        <w:rPr>
          <w:rFonts w:ascii="Times New Roman" w:cs="Times New Roman" w:eastAsia="Times New Roman" w:hAnsi="Times New Roman"/>
          <w:sz w:val="20"/>
          <w:szCs w:val="20"/>
          <w:b w:val="1"/>
          <w:bCs w:val="1"/>
          <w:u w:val="single" w:color="auto"/>
          <w:color w:val="auto"/>
        </w:rPr>
        <w:t>Occurrence of Default.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Transfer hereunder shall be subordinate and subject to the provisions of this Lease.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Transfer is not a complete assignment and assumption of the Lease, and if this Lease shall be terminated during the term of any such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as Tenant’s agent and attorney-in-fact, to direct any Transferee which is a sublessee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Transfer which is a complete assignment and assumption of the Lease,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82"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15.</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SURRENDER OF PREMISES; OWNERSHIP AND REMOVAL OF TRADE FIXTURES</w:t>
      </w:r>
    </w:p>
    <w:p>
      <w:pPr>
        <w:spacing w:after="0" w:line="190"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15.1 </w:t>
      </w:r>
      <w:r>
        <w:rPr>
          <w:rFonts w:ascii="Times New Roman" w:cs="Times New Roman" w:eastAsia="Times New Roman" w:hAnsi="Times New Roman"/>
          <w:sz w:val="20"/>
          <w:szCs w:val="20"/>
          <w:b w:val="1"/>
          <w:bCs w:val="1"/>
          <w:u w:val="single" w:color="auto"/>
          <w:color w:val="auto"/>
        </w:rPr>
        <w:t>Surrender of Premises.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act or thing done by Landlord or any agent or employee of Landlord during the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shall be deemed to constitute an acceptance by Landlord of a surrender of the Premises unless such intent is specifically acknowledged in a writing signed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82"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15.2 </w:t>
      </w:r>
      <w:r>
        <w:rPr>
          <w:rFonts w:ascii="Times New Roman" w:cs="Times New Roman" w:eastAsia="Times New Roman" w:hAnsi="Times New Roman"/>
          <w:sz w:val="20"/>
          <w:szCs w:val="20"/>
          <w:b w:val="1"/>
          <w:bCs w:val="1"/>
          <w:u w:val="single" w:color="auto"/>
          <w:color w:val="auto"/>
        </w:rPr>
        <w:t>Removal of Tenant Property by Tenant.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expiration of the Lease Term, or upon any earlier 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Lease, Tenant shall, subject to the provisions of this </w:t>
      </w:r>
      <w:r>
        <w:rPr>
          <w:rFonts w:ascii="Times New Roman" w:cs="Times New Roman" w:eastAsia="Times New Roman" w:hAnsi="Times New Roman"/>
          <w:sz w:val="20"/>
          <w:szCs w:val="20"/>
          <w:u w:val="single" w:color="auto"/>
          <w:color w:val="auto"/>
        </w:rPr>
        <w:t>Article 15</w:t>
      </w:r>
      <w:r>
        <w:rPr>
          <w:rFonts w:ascii="Times New Roman" w:cs="Times New Roman" w:eastAsia="Times New Roman" w:hAnsi="Times New Roman"/>
          <w:sz w:val="20"/>
          <w:szCs w:val="20"/>
          <w:color w:val="auto"/>
        </w:rPr>
        <w:t>, quit and surrender possession of the Premises to Landlord in as good order and condition as when Tenant took possession and as thereafter improved by Landlord and/or Tenant, reasonable wear and tear, repairs which are specifically made the responsibility of Landlord hereunder and damage from casualty excepted. Upon such expiration or termination, Tenant shall, without expense to Landlord, remove or cause to be removed from the Premises all debris and rubbish, and such items of furniture, equipment, business and trade fixtures, free-standing cabinet work, server and telephone equipment,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 If Tenant fails to remove any of the foregoing property within two days after expiration or earlier termination of the Lease Term, Landlord, at Tenant’s expense, shall be entitled to remove and store such property, and Landlord shall not be responsible for the value, preservation or safekeeping of such property. Tenant shall pay Landlord, upon demand, the reasonable expenses and storage charges incurred. If Tenant fails to remove such property from</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35" w:name="page436"/>
    <w:bookmarkEnd w:id="43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Premises or storage within thirty (30) days after notice, Landlord may deem all or any part of such property to be abandoned and title to such property shall vest in Landlord.</w:t>
      </w:r>
    </w:p>
    <w:p>
      <w:pPr>
        <w:spacing w:after="0" w:line="15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16.</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HOLDING OVER</w:t>
      </w:r>
    </w:p>
    <w:p>
      <w:pPr>
        <w:spacing w:after="0" w:line="194"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color w:val="auto"/>
        </w:rPr>
        <w:t xml:space="preserve">If Tenant holds over after the expiration of the Lease Term hereof, with or without the express or implied consent of Landlord, such tenancy shall be from month-to-month only, and shall not constitute a renewal hereof or an extension for any further term, and in such case Base Rent shall be payable at a monthly rate equal to one hundred twenty-five percent (125%) of the Base Rent applicable during the last rental period of the Lease Term under this Lease. Such month-to-month tenancy shall be subject to every other term, covenant and agreement contained herein. Nothing contained in this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8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17.</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ESTOPPEL CERTIFICATES</w:t>
      </w:r>
    </w:p>
    <w:p>
      <w:pPr>
        <w:spacing w:after="0" w:line="194"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color w:val="auto"/>
        </w:rPr>
        <w:t xml:space="preserve">Within ten (10) business days following a request in writing by Landlord, Tenant shall execute and deliver to Landlord an estoppel certificate, which, as submitted by Landlord, shall be substantially in the form of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or purchaser. Tenant shall execute and deliver whatever other instruments may be reasonably required for such purposes. At any time during the Lease Term, but no more frequently than once per Lease Year,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and deliver such estoppel certificate or other instruments shall constitute an acceptance of the Premises and an acknowledgment by Tenant that statements included in the estoppel certificate are true and correct, without exception.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6" w:name="page437"/>
    <w:bookmarkEnd w:id="436"/>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18.</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SUBORDINATION</w:t>
      </w:r>
    </w:p>
    <w:p>
      <w:pPr>
        <w:spacing w:after="0" w:line="194"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color w:val="auto"/>
        </w:rPr>
        <w:t>This Lease is subject and subordinate to all present and future ground or underlying leases of the Project and to the lien of any mortgages or trust deeds, now or hereafter in force against the Project and the Building, if any, and to all renewals, extensions, modifications, consolidations and replacements thereof, and to all advances made or hereafter to be made upon the security of such mortgages or trust deeds, unless the holders of such mortgages or trust deeds, or the lessors under such ground lease or underlying leases, require in writing that this Lease be superior thereto. Tenant covenants and agrees in the event any proceedings are brought for the foreclosure of any such mortgage or trust deed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TCCs of this Lease to be observed and performed by Tenant. Tenant shall, within fifteen (15) business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19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19.</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DEFAULTS; REMEDIES</w:t>
      </w:r>
    </w:p>
    <w:p>
      <w:pPr>
        <w:spacing w:after="0" w:line="190" w:lineRule="exact"/>
        <w:rPr>
          <w:sz w:val="20"/>
          <w:szCs w:val="20"/>
          <w:color w:val="auto"/>
        </w:rPr>
      </w:pPr>
    </w:p>
    <w:p>
      <w:pPr>
        <w:ind w:left="84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19.1</w:t>
      </w:r>
      <w:r>
        <w:rPr>
          <w:sz w:val="20"/>
          <w:szCs w:val="20"/>
          <w:color w:val="auto"/>
        </w:rPr>
        <w:tab/>
      </w:r>
      <w:r>
        <w:rPr>
          <w:rFonts w:ascii="Times New Roman" w:cs="Times New Roman" w:eastAsia="Times New Roman" w:hAnsi="Times New Roman"/>
          <w:sz w:val="19"/>
          <w:szCs w:val="19"/>
          <w:b w:val="1"/>
          <w:bCs w:val="1"/>
          <w:u w:val="single" w:color="auto"/>
          <w:color w:val="auto"/>
        </w:rPr>
        <w:t>Events of Default.</w:t>
      </w:r>
      <w:r>
        <w:rPr>
          <w:rFonts w:ascii="Times New Roman" w:cs="Times New Roman" w:eastAsia="Times New Roman" w:hAnsi="Times New Roman"/>
          <w:sz w:val="19"/>
          <w:szCs w:val="19"/>
          <w:color w:val="auto"/>
        </w:rPr>
        <w:t>The occurrence of any of the following shall constitute a default of this Lease by Tenant:</w:t>
      </w:r>
    </w:p>
    <w:p>
      <w:pPr>
        <w:spacing w:after="0" w:line="216" w:lineRule="exact"/>
        <w:rPr>
          <w:sz w:val="20"/>
          <w:szCs w:val="20"/>
          <w:color w:val="auto"/>
        </w:rPr>
      </w:pPr>
    </w:p>
    <w:p>
      <w:pPr>
        <w:jc w:val="both"/>
        <w:ind w:firstLine="166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19.1.1. </w:t>
      </w:r>
      <w:r>
        <w:rPr>
          <w:rFonts w:ascii="Times New Roman" w:cs="Times New Roman" w:eastAsia="Times New Roman" w:hAnsi="Times New Roman"/>
          <w:sz w:val="20"/>
          <w:szCs w:val="20"/>
          <w:color w:val="auto"/>
        </w:rPr>
        <w:t>Any failure by Tenant to pay any Rent or any other charge required to be paid under this Lease,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 thereof, within five (5) days following the due date thereof.</w:t>
      </w:r>
    </w:p>
    <w:p>
      <w:pPr>
        <w:spacing w:after="0" w:line="152" w:lineRule="exact"/>
        <w:rPr>
          <w:sz w:val="20"/>
          <w:szCs w:val="20"/>
          <w:color w:val="auto"/>
        </w:rPr>
      </w:pPr>
    </w:p>
    <w:p>
      <w:pPr>
        <w:jc w:val="both"/>
        <w:ind w:right="20" w:firstLine="166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19.1.2. </w:t>
      </w:r>
      <w:r>
        <w:rPr>
          <w:rFonts w:ascii="Times New Roman" w:cs="Times New Roman" w:eastAsia="Times New Roman" w:hAnsi="Times New Roman"/>
          <w:sz w:val="20"/>
          <w:szCs w:val="20"/>
          <w:color w:val="auto"/>
        </w:rPr>
        <w:t>The failure by Tenant to observe or perform according to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Articles 5, 14, 17 or 18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 where such failure continues for more than three (3) business days after notice from Landlord.</w:t>
      </w:r>
    </w:p>
    <w:p>
      <w:pPr>
        <w:spacing w:after="0" w:line="152" w:lineRule="exact"/>
        <w:rPr>
          <w:sz w:val="20"/>
          <w:szCs w:val="20"/>
          <w:color w:val="auto"/>
        </w:rPr>
      </w:pPr>
    </w:p>
    <w:p>
      <w:pPr>
        <w:jc w:val="both"/>
        <w:ind w:firstLine="1663"/>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19.1.3. </w:t>
      </w:r>
      <w:r>
        <w:rPr>
          <w:rFonts w:ascii="Times New Roman" w:cs="Times New Roman" w:eastAsia="Times New Roman" w:hAnsi="Times New Roman"/>
          <w:sz w:val="20"/>
          <w:szCs w:val="20"/>
          <w:color w:val="auto"/>
        </w:rPr>
        <w:t>Except where a specific time period is otherwise set forth for Tenant’s performance in this Lease, in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event the failure to perform by Tenant within such time period shall be a default by Tenant under this </w:t>
      </w:r>
      <w:r>
        <w:rPr>
          <w:rFonts w:ascii="Times New Roman" w:cs="Times New Roman" w:eastAsia="Times New Roman" w:hAnsi="Times New Roman"/>
          <w:sz w:val="20"/>
          <w:szCs w:val="20"/>
          <w:u w:val="single" w:color="auto"/>
          <w:color w:val="auto"/>
        </w:rPr>
        <w:t>Section 19.1.3</w:t>
      </w:r>
      <w:r>
        <w:rPr>
          <w:rFonts w:ascii="Times New Roman" w:cs="Times New Roman" w:eastAsia="Times New Roman" w:hAnsi="Times New Roman"/>
          <w:sz w:val="20"/>
          <w:szCs w:val="20"/>
          <w:color w:val="auto"/>
        </w:rPr>
        <w:t xml:space="preserve">, any failure by Tenant to observe or perform any provision, covenant or condition of this Lease to be observed or performed by Tenant (other than a failure described in </w:t>
      </w:r>
      <w:r>
        <w:rPr>
          <w:rFonts w:ascii="Times New Roman" w:cs="Times New Roman" w:eastAsia="Times New Roman" w:hAnsi="Times New Roman"/>
          <w:sz w:val="20"/>
          <w:szCs w:val="20"/>
          <w:u w:val="single" w:color="auto"/>
          <w:color w:val="auto"/>
        </w:rPr>
        <w:t>Sections 19.1.1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19.1.2</w:t>
      </w:r>
      <w:r>
        <w:rPr>
          <w:rFonts w:ascii="Times New Roman" w:cs="Times New Roman" w:eastAsia="Times New Roman" w:hAnsi="Times New Roman"/>
          <w:sz w:val="20"/>
          <w:szCs w:val="20"/>
          <w:color w:val="auto"/>
        </w:rPr>
        <w:t>) where such failure continues for thirty (30) days after written notice thereof from Landlord to Tenant; provided that if the nature of such default is such that the same cannot reasonably be cured within a thirty (30)-day period, Tenant shall not be deemed to be in default if it diligently commences such cure within such period and thereafter diligently proceeds to rectify and cure such default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-760095</wp:posOffset>
            </wp:positionV>
            <wp:extent cx="3111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37" w:name="page438"/>
    <w:bookmarkEnd w:id="437"/>
    <w:p>
      <w:pPr>
        <w:jc w:val="both"/>
        <w:ind w:firstLine="1663"/>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19.1.4. </w:t>
      </w:r>
      <w:r>
        <w:rPr>
          <w:rFonts w:ascii="Times New Roman" w:cs="Times New Roman" w:eastAsia="Times New Roman" w:hAnsi="Times New Roman"/>
          <w:sz w:val="20"/>
          <w:szCs w:val="20"/>
          <w:color w:val="auto"/>
        </w:rPr>
        <w:t>To the extent permitted by law, (a) a general assignment by Tenant or any guarantor of this Lease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 of creditors, or (b) the taking of any action in furtherance of bankruptcy or dissolution whether or not there exists any proceeding under an insolvency or bankruptcy law, or (c) the filing by or against Tenant or any guarantor of any proceeding under an insolvency or bankruptcy law, unless in the case of a proceeding filed against Tenant or any guarantor the same is dismissed within sixty (60) days, or (d) the appointment of a trustee or receiver to take possession of all or substantially all of the assets of Tenant or any guarantor, unless possession is restored to Tenant or such guarantor within thirty (30) days, or (e) any execution or other judicially authorized seizure of all or substantially all of Tenant’s assets located upon the Premises or of Tenant’s interest in this Lease, unless such seizure is discharged within thirty (30) days, or (f) Tenant’s (or any guarantor’s) convening of a meeting of its creditors or any class thereof for the purpose of effecting a moratorium upon or composition of its debts.</w:t>
      </w:r>
    </w:p>
    <w:p>
      <w:pPr>
        <w:spacing w:after="0" w:line="186" w:lineRule="exact"/>
        <w:rPr>
          <w:sz w:val="20"/>
          <w:szCs w:val="20"/>
          <w:color w:val="auto"/>
        </w:rPr>
      </w:pPr>
    </w:p>
    <w:p>
      <w:pPr>
        <w:ind w:left="1680"/>
        <w:spacing w:after="0"/>
        <w:tabs>
          <w:tab w:leader="none" w:pos="2840" w:val="left"/>
        </w:tabs>
        <w:rPr>
          <w:sz w:val="20"/>
          <w:szCs w:val="20"/>
          <w:color w:val="auto"/>
        </w:rPr>
      </w:pPr>
      <w:r>
        <w:rPr>
          <w:rFonts w:ascii="Times New Roman" w:cs="Times New Roman" w:eastAsia="Times New Roman" w:hAnsi="Times New Roman"/>
          <w:sz w:val="20"/>
          <w:szCs w:val="20"/>
          <w:b w:val="1"/>
          <w:bCs w:val="1"/>
          <w:color w:val="auto"/>
        </w:rPr>
        <w:t>19.1.5.</w:t>
      </w:r>
      <w:r>
        <w:rPr>
          <w:sz w:val="20"/>
          <w:szCs w:val="20"/>
          <w:color w:val="auto"/>
        </w:rPr>
        <w:tab/>
      </w:r>
      <w:r>
        <w:rPr>
          <w:rFonts w:ascii="Times New Roman" w:cs="Times New Roman" w:eastAsia="Times New Roman" w:hAnsi="Times New Roman"/>
          <w:sz w:val="19"/>
          <w:szCs w:val="19"/>
          <w:color w:val="auto"/>
        </w:rPr>
        <w:t>Abandonment, vacation or surrender of the Premises by Tenant.</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The notice periods provided herein are in lieu of, and not in addition to, any notice periods provided by law.</w:t>
      </w:r>
    </w:p>
    <w:p>
      <w:pPr>
        <w:spacing w:after="0" w:line="212"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19.2 </w:t>
      </w:r>
      <w:r>
        <w:rPr>
          <w:rFonts w:ascii="Times New Roman" w:cs="Times New Roman" w:eastAsia="Times New Roman" w:hAnsi="Times New Roman"/>
          <w:sz w:val="20"/>
          <w:szCs w:val="20"/>
          <w:b w:val="1"/>
          <w:bCs w:val="1"/>
          <w:u w:val="single" w:color="auto"/>
          <w:color w:val="auto"/>
        </w:rPr>
        <w:t>Remedies Upon Default</w:t>
      </w:r>
      <w:r>
        <w:rPr>
          <w:rFonts w:ascii="Times New Roman" w:cs="Times New Roman" w:eastAsia="Times New Roman" w:hAnsi="Times New Roman"/>
          <w:sz w:val="20"/>
          <w:szCs w:val="20"/>
          <w:color w:val="auto"/>
        </w:rPr>
        <w:t>Upon the occurrence of any event of default by Tenant, Landlord shall have, in addition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76" w:lineRule="exact"/>
        <w:rPr>
          <w:sz w:val="20"/>
          <w:szCs w:val="20"/>
          <w:color w:val="auto"/>
        </w:rPr>
      </w:pPr>
    </w:p>
    <w:p>
      <w:pPr>
        <w:jc w:val="both"/>
        <w:ind w:firstLine="1663"/>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19.2.1. </w:t>
      </w:r>
      <w:r>
        <w:rPr>
          <w:rFonts w:ascii="Times New Roman" w:cs="Times New Roman" w:eastAsia="Times New Roman" w:hAnsi="Times New Roman"/>
          <w:sz w:val="20"/>
          <w:szCs w:val="20"/>
          <w:color w:val="auto"/>
        </w:rPr>
        <w:t>Terminate this Lease, in which event Tenant shall immediately surrender the Premises to Landlord, and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for any claim or damages therefor; and Landlord may recover from Tenant the following: (i) the worth at the time of award of any unpaid rent which has been earned at the time of such termination; plus (ii) the worth at the time of award of the amount by which the unpaid rent which would have been earned after termination until the time of award exceeds the amount of such rental loss that Tenant proves could have been reasonably avoided; plus (iii) the worth at the time of award of the amount by which the unpaid rent for the balance of the Lease Term after the time of award exceeds the amount of such rental loss that Tenant proves could have been reasonably avoided; plus (iv) 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 (v) at Landlord’s election, such other amounts in addition to or in lieu of the foregoing as may be permitted from time to time by applicable law. The term “rent” as used in this </w:t>
      </w:r>
      <w:r>
        <w:rPr>
          <w:rFonts w:ascii="Times New Roman" w:cs="Times New Roman" w:eastAsia="Times New Roman" w:hAnsi="Times New Roman"/>
          <w:sz w:val="20"/>
          <w:szCs w:val="20"/>
          <w:u w:val="single" w:color="auto"/>
          <w:color w:val="auto"/>
        </w:rPr>
        <w:t>Section 19.2.1</w:t>
      </w:r>
      <w:r>
        <w:rPr>
          <w:rFonts w:ascii="Times New Roman" w:cs="Times New Roman" w:eastAsia="Times New Roman" w:hAnsi="Times New Roman"/>
          <w:sz w:val="20"/>
          <w:szCs w:val="20"/>
          <w:color w:val="auto"/>
        </w:rPr>
        <w:t xml:space="preserve"> shall be deemed to be and to mean all sums of every nature required to be paid by Tenant pursuant to the terms of this Lease, whether to Landlord or to others. As used in </w:t>
      </w:r>
      <w:r>
        <w:rPr>
          <w:rFonts w:ascii="Times New Roman" w:cs="Times New Roman" w:eastAsia="Times New Roman" w:hAnsi="Times New Roman"/>
          <w:sz w:val="20"/>
          <w:szCs w:val="20"/>
          <w:u w:val="single" w:color="auto"/>
          <w:color w:val="auto"/>
        </w:rPr>
        <w:t>Sections 19.2.1(i)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the “worth at the time of award” shall be computed by allowing Interest Rate set forth in </w:t>
      </w:r>
      <w:r>
        <w:rPr>
          <w:rFonts w:ascii="Times New Roman" w:cs="Times New Roman" w:eastAsia="Times New Roman" w:hAnsi="Times New Roman"/>
          <w:sz w:val="20"/>
          <w:szCs w:val="20"/>
          <w:u w:val="single" w:color="auto"/>
          <w:color w:val="auto"/>
        </w:rPr>
        <w:t>Article 25</w:t>
      </w:r>
      <w:r>
        <w:rPr>
          <w:rFonts w:ascii="Times New Roman" w:cs="Times New Roman" w:eastAsia="Times New Roman" w:hAnsi="Times New Roman"/>
          <w:sz w:val="20"/>
          <w:szCs w:val="20"/>
          <w:color w:val="auto"/>
        </w:rPr>
        <w:t xml:space="preserve"> of this Lease, but in no case greater than the maximum amount of such interest permitted by law. As used in </w:t>
      </w:r>
      <w:r>
        <w:rPr>
          <w:rFonts w:ascii="Times New Roman" w:cs="Times New Roman" w:eastAsia="Times New Roman" w:hAnsi="Times New Roman"/>
          <w:sz w:val="20"/>
          <w:szCs w:val="20"/>
          <w:u w:val="single" w:color="auto"/>
          <w:color w:val="auto"/>
        </w:rPr>
        <w:t>Section 19.2.1(iii)</w:t>
      </w:r>
      <w:r>
        <w:rPr>
          <w:rFonts w:ascii="Times New Roman" w:cs="Times New Roman" w:eastAsia="Times New Roman" w:hAnsi="Times New Roman"/>
          <w:sz w:val="20"/>
          <w:szCs w:val="20"/>
          <w:color w:val="auto"/>
        </w:rPr>
        <w:t xml:space="preserve"> above, the “worth at the time of award” shall be computed by discounting such amount at the discount rate of the Federal Reserve Bank of San Francisco at the time of award plus one percent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38" w:name="page439"/>
    <w:bookmarkEnd w:id="438"/>
    <w:p>
      <w:pPr>
        <w:jc w:val="both"/>
        <w:ind w:firstLine="166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19.2.2. </w:t>
      </w:r>
      <w:r>
        <w:rPr>
          <w:rFonts w:ascii="Times New Roman" w:cs="Times New Roman" w:eastAsia="Times New Roman" w:hAnsi="Times New Roman"/>
          <w:sz w:val="20"/>
          <w:szCs w:val="20"/>
          <w:color w:val="auto"/>
        </w:rPr>
        <w:t>Landlord shall have the right to continue the Lease in effect after Tenant’s breach and abandonment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recover rent as it becomes due.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76" w:lineRule="exact"/>
        <w:rPr>
          <w:sz w:val="20"/>
          <w:szCs w:val="20"/>
          <w:color w:val="auto"/>
        </w:rPr>
      </w:pPr>
    </w:p>
    <w:p>
      <w:pPr>
        <w:jc w:val="both"/>
        <w:ind w:firstLine="166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19.2.3. </w:t>
      </w:r>
      <w:r>
        <w:rPr>
          <w:rFonts w:ascii="Times New Roman" w:cs="Times New Roman" w:eastAsia="Times New Roman" w:hAnsi="Times New Roman"/>
          <w:sz w:val="20"/>
          <w:szCs w:val="20"/>
          <w:color w:val="auto"/>
        </w:rPr>
        <w:t>Landlord shall at all times have the rights and remedies (which shall be cumulative with each other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cumulative and in addition to those rights and remedies available under </w:t>
      </w:r>
      <w:r>
        <w:rPr>
          <w:rFonts w:ascii="Times New Roman" w:cs="Times New Roman" w:eastAsia="Times New Roman" w:hAnsi="Times New Roman"/>
          <w:sz w:val="20"/>
          <w:szCs w:val="20"/>
          <w:u w:val="single" w:color="auto"/>
          <w:color w:val="auto"/>
        </w:rPr>
        <w:t>Sections 19.2.1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19.2.2</w:t>
      </w:r>
      <w:r>
        <w:rPr>
          <w:rFonts w:ascii="Times New Roman" w:cs="Times New Roman" w:eastAsia="Times New Roman" w:hAnsi="Times New Roman"/>
          <w:sz w:val="20"/>
          <w:szCs w:val="20"/>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76" w:lineRule="exact"/>
        <w:rPr>
          <w:sz w:val="20"/>
          <w:szCs w:val="20"/>
          <w:color w:val="auto"/>
        </w:rPr>
      </w:pPr>
    </w:p>
    <w:p>
      <w:pPr>
        <w:jc w:val="both"/>
        <w:ind w:firstLine="1663"/>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19.2.4. </w:t>
      </w:r>
      <w:r>
        <w:rPr>
          <w:rFonts w:ascii="Times New Roman" w:cs="Times New Roman" w:eastAsia="Times New Roman" w:hAnsi="Times New Roman"/>
          <w:sz w:val="20"/>
          <w:szCs w:val="20"/>
          <w:color w:val="auto"/>
        </w:rPr>
        <w:t>Following the occurrence of an event of default by Tenant, Landlord shall have the right to require that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all subsequent amounts paid by Tenant to Landlord hereunder, whether to cure the default in question or otherwise, be paid in the form of cash, money order, cashier’s or certified check drawn on an institution acceptable to Landlord, or by other means approved by Landlord, notwithstanding any prior practice of accepting payments in any different form.</w:t>
      </w:r>
    </w:p>
    <w:p>
      <w:pPr>
        <w:spacing w:after="0" w:line="176" w:lineRule="exact"/>
        <w:rPr>
          <w:sz w:val="20"/>
          <w:szCs w:val="20"/>
          <w:color w:val="auto"/>
        </w:rPr>
      </w:pPr>
    </w:p>
    <w:p>
      <w:pPr>
        <w:jc w:val="both"/>
        <w:ind w:firstLine="1663"/>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19.2.5. </w:t>
      </w:r>
      <w:r>
        <w:rPr>
          <w:rFonts w:ascii="Times New Roman" w:cs="Times New Roman" w:eastAsia="Times New Roman" w:hAnsi="Times New Roman"/>
          <w:sz w:val="20"/>
          <w:szCs w:val="20"/>
          <w:color w:val="auto"/>
        </w:rPr>
        <w:t>Any agreement for free or abated rent or other charges, the cost of tenant improvements paid for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performed by Landlord, or for the giving or paying by Landlord to or for Tenant of any cash or other bonus, inducement or consideration for Tenant’s entering into this Lease, all of which concessions are hereinafter referred to as “Inducement Provisions”, shall be deemed conditioned upon Tenant’s full and faithful performance of all of the terms, covenants and conditions of this Lease. In the event of Default of this Lease by Tenant, beyond any applicable cure period, any such Inducement Provision shall, at the sole discretion of Landlord, be deemed deleted from this Lease and of no further force or effect, and any unamortized rent, other charge, bonus, inducement or consideration theretofore abated, given or paid by Landlord under such an Inducement Provision shall be due and payable by Tenant to Landlord.</w:t>
      </w:r>
    </w:p>
    <w:p>
      <w:pPr>
        <w:spacing w:after="0" w:line="179"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19.3 </w:t>
      </w:r>
      <w:r>
        <w:rPr>
          <w:rFonts w:ascii="Times New Roman" w:cs="Times New Roman" w:eastAsia="Times New Roman" w:hAnsi="Times New Roman"/>
          <w:sz w:val="20"/>
          <w:szCs w:val="20"/>
          <w:b w:val="1"/>
          <w:bCs w:val="1"/>
          <w:u w:val="single" w:color="auto"/>
          <w:color w:val="auto"/>
        </w:rPr>
        <w:t>Sublessees of Tenant</w:t>
      </w:r>
      <w:r>
        <w:rPr>
          <w:rFonts w:ascii="Times New Roman" w:cs="Times New Roman" w:eastAsia="Times New Roman" w:hAnsi="Times New Roman"/>
          <w:sz w:val="20"/>
          <w:szCs w:val="20"/>
          <w:color w:val="auto"/>
        </w:rPr>
        <w:t>Whether or not Landlord elects to terminate this Lease on account of any default by Tenant,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set forth in this </w:t>
      </w:r>
      <w:r>
        <w:rPr>
          <w:rFonts w:ascii="Times New Roman" w:cs="Times New Roman" w:eastAsia="Times New Roman" w:hAnsi="Times New Roman"/>
          <w:sz w:val="20"/>
          <w:szCs w:val="20"/>
          <w:u w:val="single" w:color="auto"/>
          <w:color w:val="auto"/>
        </w:rPr>
        <w:t>Article 19</w:t>
      </w:r>
      <w:r>
        <w:rPr>
          <w:rFonts w:ascii="Times New Roman" w:cs="Times New Roman" w:eastAsia="Times New Roman" w:hAnsi="Times New Roman"/>
          <w:sz w:val="20"/>
          <w:szCs w:val="20"/>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79"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19.4 </w:t>
      </w:r>
      <w:r>
        <w:rPr>
          <w:rFonts w:ascii="Times New Roman" w:cs="Times New Roman" w:eastAsia="Times New Roman" w:hAnsi="Times New Roman"/>
          <w:sz w:val="20"/>
          <w:szCs w:val="20"/>
          <w:b w:val="1"/>
          <w:bCs w:val="1"/>
          <w:u w:val="single" w:color="auto"/>
          <w:color w:val="auto"/>
        </w:rPr>
        <w:t>Waiver of Default</w:t>
      </w:r>
      <w:r>
        <w:rPr>
          <w:rFonts w:ascii="Times New Roman" w:cs="Times New Roman" w:eastAsia="Times New Roman" w:hAnsi="Times New Roman"/>
          <w:sz w:val="20"/>
          <w:szCs w:val="20"/>
          <w:color w:val="auto"/>
        </w:rPr>
        <w:t>No waiver by Landlord of any violation or breach of any of the terms, provisions and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contained shall be deemed or construed to constitute a waiver of any other or later violation or breach of the same or any other of the terms, provisions, and covenants herein contained. Forbearance by Landlord in enforcement of one or more of the remedies herein provided upon an event of default shall not be deemed or construed to constitute a waiver of such default. The acceptance of any Rent hereunder by Landlord following the occurrence of any default, whether or not known to Landlord, shall not be deemed a waiver of any such default, except only a default in the payment of the Rent so accepted. No endorsement or statement on any check or any letter accompanying any check or payment as Rent shall be deemed an accord and satisfaction, and Landlord may accept such check or payment without prejudice to Landlord’s right to recover the balance of such Rent or pursue any other remedy in this Lease provided. TENANT HEREBY WAIVES ANY AND ALL RIGHTS CONFERRED BY LAWS AND RULES OF LAW FROM TIME TO TIME IN EFFECT DURING THE LEASE TERM PROVIDING THAT TENANT SHALL HAVE ANY RIGHT TO REDEEM, REINSTATE OR RESTORE THIS LEASE FOLLOWING ITS TERMINATION BY REASON OF TENANT’S BREACH.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39" w:name="page440"/>
    <w:bookmarkEnd w:id="439"/>
    <w:p>
      <w:pPr>
        <w:jc w:val="both"/>
        <w:ind w:firstLine="832"/>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19.5 </w:t>
      </w:r>
      <w:r>
        <w:rPr>
          <w:rFonts w:ascii="Times New Roman" w:cs="Times New Roman" w:eastAsia="Times New Roman" w:hAnsi="Times New Roman"/>
          <w:sz w:val="20"/>
          <w:szCs w:val="20"/>
          <w:b w:val="1"/>
          <w:bCs w:val="1"/>
          <w:u w:val="single" w:color="auto"/>
          <w:color w:val="auto"/>
        </w:rPr>
        <w:t>Efforts to Relet</w:t>
      </w:r>
      <w:r>
        <w:rPr>
          <w:rFonts w:ascii="Times New Roman" w:cs="Times New Roman" w:eastAsia="Times New Roman" w:hAnsi="Times New Roman"/>
          <w:sz w:val="20"/>
          <w:szCs w:val="20"/>
          <w:color w:val="auto"/>
        </w:rPr>
        <w:t>No re-entry or repossession, repairs, maintenance, changes, alterations and additions, reletting,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180"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19.6 </w:t>
      </w:r>
      <w:r>
        <w:rPr>
          <w:rFonts w:ascii="Times New Roman" w:cs="Times New Roman" w:eastAsia="Times New Roman" w:hAnsi="Times New Roman"/>
          <w:sz w:val="20"/>
          <w:szCs w:val="20"/>
          <w:b w:val="1"/>
          <w:bCs w:val="1"/>
          <w:u w:val="single" w:color="auto"/>
          <w:color w:val="auto"/>
        </w:rPr>
        <w:t>Landlord Default</w:t>
      </w:r>
      <w:r>
        <w:rPr>
          <w:rFonts w:ascii="Times New Roman" w:cs="Times New Roman" w:eastAsia="Times New Roman" w:hAnsi="Times New Roman"/>
          <w:sz w:val="20"/>
          <w:szCs w:val="20"/>
          <w:color w:val="auto"/>
        </w:rPr>
        <w:t>Notwithstanding anything to the contrary set forth in this Lease, Landlord shall be in default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of any obligation required to be performed by Landlord pursuant to this Lease if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pursues the same to completion. Upon any such default by Landlord under this Lease, Tenant may, except as otherwise specifically provided in this Lease to the contrary, exercise any of its rights provided at law or in equity. Any award from a court or arbitrator in favor of Tenant requiring payment by Landlord which is not paid by Landlord within the time period directed by such award, may be offset by Tenant from Rent next due and payable under this Lease; provided, however, Tenant may not deduct the amount of the award against more than fifty percent (50%) of Base Rent next due and owing (until such time as the entire amount of such judgment is deducted) to the extent following a foreclosure or a deed-in-lieu of foreclosure.</w:t>
      </w:r>
    </w:p>
    <w:p>
      <w:pPr>
        <w:spacing w:after="0" w:line="19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20.</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FORCE MAJEURE</w:t>
      </w:r>
    </w:p>
    <w:p>
      <w:pPr>
        <w:spacing w:after="0" w:line="194"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color w:val="auto"/>
        </w:rPr>
        <w:t>Any prevention, delay or stoppage due to strikes, lockouts, labor disputes, acts of God, pandemic, inability to obtain services, labor, or materials or reasonable substitutes therefor, governmental restrictions, governmental regulations, governmental controls, judicial orders, enemy or hostile governmental action or other governmental actions (excluding (i) any action or decisions of any governmental authority, agency or department (including the City’s building and safety department and fire department) with respect to the issuance and/or approval (as applicable) of any license; conditional use, building or other permit; building plans and specifications; or certificate of occupancy; and (ii) any processing times of any governmental authority agency or department with respect to any of the foregoing actions or decisions; and (iii) any other similar actions or events with respect to any governmental authority, agency or department), civil commotions, fire or other casualty, and other causes (except financial) beyond the reasonable control of the party obligated to perform (collectively, the “</w:t>
      </w: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except with respect to the obligations imposed with regard to Rent and other charges to be paid by Tenant pursuant to this Lease, notwithstanding anything to the contrary contained in this Lease, shall excuse the performance of such party for a period equal to any such prevention, delay or stoppage and, therefore, if this Lease specifies a time period for performance of an obligation of such party, that time period shall be extended by the period of any delay in such party’s performance caused by a Force Majeure; provided the party prevented, delayed or stopped shall have given the other party written notice thereof within ten (10) days of such event causing the prevention, delay or stoppage.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40" w:name="page441"/>
    <w:bookmarkEnd w:id="440"/>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21.</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SECURITY DEPOSIT</w:t>
      </w:r>
    </w:p>
    <w:p>
      <w:pPr>
        <w:spacing w:after="0" w:line="190"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color w:val="auto"/>
        </w:rPr>
        <w:t>Concurrent with Tenant’s execution of this Lease, Tenant shall deposit with Landlord a security deposit (the “</w:t>
      </w: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xml:space="preserve">”) in the amount set forth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of the Summary, as security for the faithful performance by Tenant of all of its obligations under this Lease. If Tenant defaults with respect to any provisions of this Lease, including, but not limited to, the provisions relating to the payment of Rent, the removal of property and the repair of resultant damage, Landlord, without notice to Tenant, may, but shall not be required to, use, apply or retain all or any part of the Security Deposit for the payment of any Rent or any other sum in default, or for the payment of any amount that Landlord may spend or become obligated to spend by reason of Tenant’s default, or to compensate Landlord for any other loss or damage that Landlord may suffer by reason of Tenant’s default. If any portion of the Security Deposit is so used, applied or retained, Tenant shall, within five (5) business days after written demand therefor, deposit cash with Landlord in an amount sufficient to restore the Security Deposit to its original amount, and Tenant’s failure to do so shall be a default under this Lease. If Tenant shall fully and faithfully perform every provision of this Lease to be performed by it, the Security Deposit, or any remaining balance thereof, shall be returned to Tenant, or, at Landlord’s option, to the last assignee of Tenant’s interest hereunder, within thirty (30) days following the expiration of the Lease Term. Tenant shall not be entitled to any interest on the Security Deposit. Tenant acknowledges and agrees that (A) any statutory time frames for the return of a security deposit are superseded by the express period identified in this </w:t>
      </w:r>
      <w:r>
        <w:rPr>
          <w:rFonts w:ascii="Times New Roman" w:cs="Times New Roman" w:eastAsia="Times New Roman" w:hAnsi="Times New Roman"/>
          <w:sz w:val="20"/>
          <w:szCs w:val="20"/>
          <w:u w:val="single" w:color="auto"/>
          <w:color w:val="auto"/>
        </w:rPr>
        <w:t>Article 21</w:t>
      </w:r>
      <w:r>
        <w:rPr>
          <w:rFonts w:ascii="Times New Roman" w:cs="Times New Roman" w:eastAsia="Times New Roman" w:hAnsi="Times New Roman"/>
          <w:sz w:val="20"/>
          <w:szCs w:val="20"/>
          <w:color w:val="auto"/>
        </w:rPr>
        <w:t xml:space="preserve">, above, and (B) rather than be so limited, Landlord may claim from the Security Deposit (i) any and all sums expressly identified in this </w:t>
      </w:r>
      <w:r>
        <w:rPr>
          <w:rFonts w:ascii="Times New Roman" w:cs="Times New Roman" w:eastAsia="Times New Roman" w:hAnsi="Times New Roman"/>
          <w:sz w:val="20"/>
          <w:szCs w:val="20"/>
          <w:u w:val="single" w:color="auto"/>
          <w:color w:val="auto"/>
        </w:rPr>
        <w:t>Article 21</w:t>
      </w:r>
      <w:r>
        <w:rPr>
          <w:rFonts w:ascii="Times New Roman" w:cs="Times New Roman" w:eastAsia="Times New Roman" w:hAnsi="Times New Roman"/>
          <w:sz w:val="20"/>
          <w:szCs w:val="20"/>
          <w:color w:val="auto"/>
        </w:rPr>
        <w:t>, above, and (ii) any additional sums reasonably necessary to compensate Landlord for any and all losses or damages caused by Tenant’s default of this Lease.</w:t>
      </w:r>
    </w:p>
    <w:p>
      <w:pPr>
        <w:spacing w:after="0" w:line="19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22.</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INTENTIONALLY DELETED</w:t>
      </w:r>
    </w:p>
    <w:p>
      <w:pPr>
        <w:spacing w:after="0" w:line="19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23.</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SIGNS</w:t>
      </w:r>
    </w:p>
    <w:p>
      <w:pPr>
        <w:spacing w:after="0" w:line="194"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color w:val="auto"/>
        </w:rPr>
        <w:t>Provided that Tenant continuously occupies all of the Premises, Tenant may at its sole cost and expense (a) place its standard graphics, signs, logos, pictures, names or advertisements (“</w:t>
      </w:r>
      <w:r>
        <w:rPr>
          <w:rFonts w:ascii="Times New Roman" w:cs="Times New Roman" w:eastAsia="Times New Roman" w:hAnsi="Times New Roman"/>
          <w:sz w:val="20"/>
          <w:szCs w:val="20"/>
          <w:b w:val="1"/>
          <w:bCs w:val="1"/>
          <w:color w:val="auto"/>
        </w:rPr>
        <w:t>Signage</w:t>
      </w:r>
      <w:r>
        <w:rPr>
          <w:rFonts w:ascii="Times New Roman" w:cs="Times New Roman" w:eastAsia="Times New Roman" w:hAnsi="Times New Roman"/>
          <w:sz w:val="20"/>
          <w:szCs w:val="20"/>
          <w:color w:val="auto"/>
        </w:rPr>
        <w:t>”) at the entrance to the Premises and in a prominent location on the exterior of the Building subject to the terms of this section. Any Signage installed in, on or about the Premises without Landlord’s approval may be removed without notice by Landlord at the sole expense of Tenant. Tenant may not install any signs on the exterior or roof of the Common Areas. The location, size, design, color and other physical aspects of any and all permitted sign(s) under this Lease will be subject to (a) Landlord’s written approval prior to installation which shall not be unreasonably withheld or conditioned, (b) any covenants, conditions or restriction governing the Project or the Premises, and (c) any applicable law, statute, zoning restriction, ordinance, rule, regulation, order and ruling of any governmental authority with jurisdiction over the Project. Landlord agrees to provide Tenant’s initial Building standard suite entry and directory signage. Notwithstanding the above to the contrary. Tenant shall be responsible for obtaining necessary approvals from the City of Bothell. Prior to the expiration of the Lease Term, Tenant shall, at Tenant’s cost and expense, remove its exterior signage and repair and restore the Building to the condition it was in prior to the installation of Tenant’s sign. The exterior signage rights granted herein are personal to Tenant and may not be assigned by Tenant to any party. In the event of an assignment of this Lease by Tenant to any party, or in the event Tenant defaults under, beyond any applicable notice and cure period, this Lease or fails to continuously occupy the entire Premises, Tenant’s exterior signage rights granted hereunder shall automatically terminate, unless and to the extent otherwise expressly agreed by Landlord in writing.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41" w:name="page442"/>
    <w:bookmarkEnd w:id="441"/>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24.</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COMPLIANCE WITH LAW</w:t>
      </w:r>
    </w:p>
    <w:p>
      <w:pPr>
        <w:spacing w:after="0" w:line="190"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24.1 </w:t>
      </w: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Tenant shall not do anything or suffer anything to be done in or about the Premises which will in any way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conflict with any Applicable Requirement now in force or which may hereafter be enacted or promulgated. Except as otherwise provided in this Lease, Tenant shall, at Tenant’s sole cost and expense, fully, diligently and in a timely manner, materially comply with all Applicable Requirements, the requirements of any applicable fire insurance underwriter or rating bureau, and the reasonable recommendations of Landlord’s engineers and/or consultants which relate in any manner to the Premises, without regard to whether said requirements are now in effect or become effective after the Lease Commencement Date. Tenant shall, within ten (10) days after receipt of Landlord’s written request, provide Landlord with copies of all permits and other documents and information evidencing Tenant’s compliance with any Applicable Requirements specified by Landlord, and shall immediately upon receipt, notify Landlord in writing (with copies of any documents involved) of any threatened or actual claim, notice, citation, warning, complaint or report pertaining to or involving the failure of Tenant or the Premises to comply with any Applicable Requirements. Likewise, Tenant shall immediately give written notice to Landlord of (i) any water damage to the Premises and any suspected seepage, pooling, dampness or other condition conducive to the production of mold, or (ii) any mustiness or other odors that might indicate the presence of mold in the Premises.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w:t>
      </w:r>
    </w:p>
    <w:p>
      <w:pPr>
        <w:spacing w:after="0" w:line="192"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24.2 </w:t>
      </w:r>
      <w:r>
        <w:rPr>
          <w:rFonts w:ascii="Times New Roman" w:cs="Times New Roman" w:eastAsia="Times New Roman" w:hAnsi="Times New Roman"/>
          <w:sz w:val="20"/>
          <w:szCs w:val="20"/>
          <w:b w:val="1"/>
          <w:bCs w:val="1"/>
          <w:u w:val="single" w:color="auto"/>
          <w:color w:val="auto"/>
        </w:rPr>
        <w:t>Accessibility/ADA Compliance</w:t>
      </w:r>
      <w:r>
        <w:rPr>
          <w:rFonts w:ascii="Times New Roman" w:cs="Times New Roman" w:eastAsia="Times New Roman" w:hAnsi="Times New Roman"/>
          <w:sz w:val="20"/>
          <w:szCs w:val="20"/>
          <w:color w:val="auto"/>
        </w:rPr>
        <w:t>A Certified Access Specialist (CASp) can inspect the Premises and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whether the Premises comply with all of the applicable construction-related accessibility standards under state law. Although state law does not require a CASp inspection of the subject premises under a lease,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Within thirty (30) days of Tenant’s request for a CASp inspection of the Premises, Landlord shall obtain such CASp inspection. Any such inspection shall be at Tenant’s sole cost. Since compliance with the Americans with Disabilities Act (“</w:t>
      </w:r>
      <w:r>
        <w:rPr>
          <w:rFonts w:ascii="Times New Roman" w:cs="Times New Roman" w:eastAsia="Times New Roman" w:hAnsi="Times New Roman"/>
          <w:sz w:val="20"/>
          <w:szCs w:val="20"/>
          <w:b w:val="1"/>
          <w:bCs w:val="1"/>
          <w:color w:val="auto"/>
        </w:rPr>
        <w:t>ADA</w:t>
      </w:r>
      <w:r>
        <w:rPr>
          <w:rFonts w:ascii="Times New Roman" w:cs="Times New Roman" w:eastAsia="Times New Roman" w:hAnsi="Times New Roman"/>
          <w:sz w:val="20"/>
          <w:szCs w:val="20"/>
          <w:color w:val="auto"/>
        </w:rPr>
        <w:t>”) is dependent upon Tenant’s specific use of the Premises, Landlord makes no warranty or representation as to whether or not the Premises comply with ADA or any similar legislation. In the event that Tenant’s use of the Premises requires repairs, modifications or additions to the Premises in order to be in ADA compliance, including any repairs, modifications and additions necessary to correct violations of accessibility standards within the Premises as may be determined in connection with a CASp inspection requested by Tenant under this Section, Tenant agrees to make any such necessary repairs, modifications and/or additions at Tenant’s expense.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42" w:name="page443"/>
    <w:bookmarkEnd w:id="442"/>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25.</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LATE CHARGES</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If any installment of Rent or any other sum due from Tenant shall not be received by Landlord or Landlord’s designee within five</w:t>
      </w:r>
    </w:p>
    <w:p>
      <w:pPr>
        <w:spacing w:after="0" w:line="22" w:lineRule="exact"/>
        <w:rPr>
          <w:sz w:val="20"/>
          <w:szCs w:val="20"/>
          <w:color w:val="auto"/>
        </w:rPr>
      </w:pPr>
    </w:p>
    <w:p>
      <w:pPr>
        <w:jc w:val="both"/>
        <w:ind w:firstLine="8"/>
        <w:spacing w:after="0"/>
        <w:tabs>
          <w:tab w:leader="none" w:pos="295"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Tenant’s receipt of written notice from Landlord that the same was not received when due, or if any check delivered to Landlord by Tenant shall be returned for insufficient funds, then Tenant shall pay to Landlord a late charge equal to five percent (5%) of the amount due plus any attorneys’ fees incurred by Landlord by reason of Tenant’s failure to pay Rent and/or other charges when due hereunder. In addition to the late charge, in the event any check is returned for insufficient funds, Tenant shall pay to Landlord, as Additional Rent, the sum of $50.00.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when due shall thereafter bear interest until paid at a rate equal to ten percent (10%) per annum (the “</w:t>
      </w:r>
      <w:r>
        <w:rPr>
          <w:rFonts w:ascii="Times New Roman" w:cs="Times New Roman" w:eastAsia="Times New Roman" w:hAnsi="Times New Roman"/>
          <w:sz w:val="20"/>
          <w:szCs w:val="20"/>
          <w:b w:val="1"/>
          <w:bCs w:val="1"/>
          <w:color w:val="auto"/>
        </w:rPr>
        <w:t>Interest Rate</w:t>
      </w:r>
      <w:r>
        <w:rPr>
          <w:rFonts w:ascii="Times New Roman" w:cs="Times New Roman" w:eastAsia="Times New Roman" w:hAnsi="Times New Roman"/>
          <w:sz w:val="20"/>
          <w:szCs w:val="20"/>
          <w:color w:val="auto"/>
        </w:rPr>
        <w:t>”), provided that in no case shall such rate be higher than the highest rate permitted by applicable law. In the event that more than one (1) check of Tenant is returned for insufficient funds in any twelve (12)-month period, Landlord shall have the right to require that any or all subsequent payments by Tenant to Landlord be in the form of cash, money order, cashier’s or certified check drawn on an institution acceptable to Landlord, notwithstanding any prior practice of accepting payments in any different form.</w:t>
      </w:r>
    </w:p>
    <w:p>
      <w:pPr>
        <w:spacing w:after="0" w:line="18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26.</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LANDLORD’S RIGHT TO CURE DEFAULT; PAYMENTS BY TENANT</w:t>
      </w:r>
    </w:p>
    <w:p>
      <w:pPr>
        <w:spacing w:after="0" w:line="194"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color w:val="auto"/>
        </w:rPr>
        <w:t xml:space="preserve">All covenants and agreements to be kept or performed by Tenant under this Lease shall be performed by Tenant at Tenant’s sole cost and expense and without any reduction of Rent. If Tenant shall fail to perform any of its obligations under this Lease, within a reasonable time after such performance is required by the terms of this Lease, Landlord may, but shall not be obligated to, after reasonable prior notice to Tenant, make any such payment or perform any such act on Tenant’s part without waiving its right based upon any default of Tenant and without releasing Tenant from any obligations hereunder. Except as may be specifically provided to the contrary in this Lease, Tenant shall pay to Landlord, within fifteen (15) days after delivery by Landlord to Tenant of statements supported by reasonable documentation: (i) sums equal to expenditures reasonably made and obligations incurred by Landlord in connection with the remedying by Landlord of Tenant’s defaults pursuant to the provisions of this </w:t>
      </w:r>
      <w:r>
        <w:rPr>
          <w:rFonts w:ascii="Times New Roman" w:cs="Times New Roman" w:eastAsia="Times New Roman" w:hAnsi="Times New Roman"/>
          <w:sz w:val="20"/>
          <w:szCs w:val="20"/>
          <w:u w:val="single" w:color="auto"/>
          <w:color w:val="auto"/>
        </w:rPr>
        <w:t>Article 26</w:t>
      </w:r>
      <w:r>
        <w:rPr>
          <w:rFonts w:ascii="Times New Roman" w:cs="Times New Roman" w:eastAsia="Times New Roman" w:hAnsi="Times New Roman"/>
          <w:sz w:val="20"/>
          <w:szCs w:val="20"/>
          <w:color w:val="auto"/>
        </w:rPr>
        <w:t xml:space="preserve">; (ii) sums equal to all losses, costs, liabilities, damages and expenses referred to in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legal fees and other amounts so expended. Tenant’s obligations under this </w:t>
      </w:r>
      <w:r>
        <w:rPr>
          <w:rFonts w:ascii="Times New Roman" w:cs="Times New Roman" w:eastAsia="Times New Roman" w:hAnsi="Times New Roman"/>
          <w:sz w:val="20"/>
          <w:szCs w:val="20"/>
          <w:u w:val="single" w:color="auto"/>
          <w:color w:val="auto"/>
        </w:rPr>
        <w:t>Article 26</w:t>
      </w:r>
      <w:r>
        <w:rPr>
          <w:rFonts w:ascii="Times New Roman" w:cs="Times New Roman" w:eastAsia="Times New Roman" w:hAnsi="Times New Roman"/>
          <w:sz w:val="20"/>
          <w:szCs w:val="20"/>
          <w:color w:val="auto"/>
        </w:rPr>
        <w:t xml:space="preserve"> shall survive the expiration or sooner termination of the Lease Term.</w:t>
      </w:r>
    </w:p>
    <w:p>
      <w:pPr>
        <w:spacing w:after="0" w:line="18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27.</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ENTRY BY LANDLORD</w:t>
      </w:r>
    </w:p>
    <w:p>
      <w:pPr>
        <w:spacing w:after="0" w:line="194"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0"/>
          <w:szCs w:val="20"/>
          <w:color w:val="auto"/>
        </w:rPr>
        <w:t xml:space="preserve">Landlord reserves the right at all reasonable times and upon reasonable notice to the Tenant to enter the Premises to (i) inspect the Premises; (ii) show the Premises to prospective purchasers, mortgagees or tenants, or to the ground or underlying lessors; (iii) post notices of non-responsibility; or (iv) alter, improve or repair the Premises or the Building if necessary to comply with current building codes or other applicable laws, or for structural alterations, repairs or improvements to the Building. Notwithstanding anything to the contrary contained in this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 Landlord may enter the Premises at any time to (A) perform services required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43" w:name="page444"/>
    <w:bookmarkEnd w:id="443"/>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Landlord; (B) subject to </w:t>
      </w:r>
      <w:r>
        <w:rPr>
          <w:rFonts w:ascii="Times New Roman" w:cs="Times New Roman" w:eastAsia="Times New Roman" w:hAnsi="Times New Roman"/>
          <w:sz w:val="20"/>
          <w:szCs w:val="20"/>
          <w:u w:val="single" w:color="auto"/>
          <w:color w:val="auto"/>
        </w:rPr>
        <w:t>Article 19</w:t>
      </w:r>
      <w:r>
        <w:rPr>
          <w:rFonts w:ascii="Times New Roman" w:cs="Times New Roman" w:eastAsia="Times New Roman" w:hAnsi="Times New Roman"/>
          <w:sz w:val="20"/>
          <w:szCs w:val="20"/>
          <w:color w:val="auto"/>
        </w:rPr>
        <w:t>, take possession due to any breach of this Lease in the manner provided herein; and (C) perform any covenants of Tenant which Tenant fails to perform beyond applicable notice and cure periods. Any such entries shall be without the abatement of Rent and shall include the right to take such reasonable steps as required to accomplish the stated purposes. Tenant hereby waives any claims for damages or for any injuries or inconvenience to or interference with Tenant’s business, lost profits, any loss of occupancy or quiet enjoyment,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in the manner hereinbefore described shall not be deemed to be a forcible or unlawful entry into, or a detainer of, the Premises, or an actual or constructive eviction of Tenant from any portion of the Premises.</w:t>
      </w:r>
    </w:p>
    <w:p>
      <w:pPr>
        <w:spacing w:after="0" w:line="182"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28.</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TENANT PARKING</w:t>
      </w:r>
    </w:p>
    <w:p>
      <w:pPr>
        <w:spacing w:after="0" w:line="194" w:lineRule="exact"/>
        <w:rPr>
          <w:sz w:val="20"/>
          <w:szCs w:val="20"/>
          <w:color w:val="auto"/>
        </w:rPr>
      </w:pPr>
    </w:p>
    <w:p>
      <w:pPr>
        <w:jc w:val="both"/>
        <w:ind w:firstLine="832"/>
        <w:spacing w:after="0" w:line="254" w:lineRule="auto"/>
        <w:rPr>
          <w:sz w:val="20"/>
          <w:szCs w:val="20"/>
          <w:color w:val="auto"/>
        </w:rPr>
      </w:pPr>
      <w:r>
        <w:rPr>
          <w:rFonts w:ascii="Times New Roman" w:cs="Times New Roman" w:eastAsia="Times New Roman" w:hAnsi="Times New Roman"/>
          <w:sz w:val="19"/>
          <w:szCs w:val="19"/>
          <w:color w:val="auto"/>
        </w:rPr>
        <w:t xml:space="preserve">Tenant and the Tenant Parties (including Tenant’s visitors) shall be entitled to utilize, commencing on the Lease Commencement Date, the number of parking passes set forth in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of the Summary, on a monthly basis throughout the Lease Term, which parking passes shall pertain to the Project parking areas/facility(ies); provided, however that Tenant shall be permitted to use the Exclusive Use Parking Passes allocated to each portion of the Premises beginning on the Commencement Date applicable to each portion of the Premises. Such parking passes shall permit Tenant and Tenant Parties to use, on a non-exclusive, as-available basis, together with other tenants and their respective employees, any undesignated, unreserved spaces available in such parking area/facility(ies) from time to time; provided, however, that Tenant shall have exclusive use of the parking passes located in the back of the Building at the loading dock (the “</w:t>
      </w:r>
      <w:r>
        <w:rPr>
          <w:rFonts w:ascii="Times New Roman" w:cs="Times New Roman" w:eastAsia="Times New Roman" w:hAnsi="Times New Roman"/>
          <w:sz w:val="19"/>
          <w:szCs w:val="19"/>
          <w:b w:val="1"/>
          <w:bCs w:val="1"/>
          <w:color w:val="auto"/>
        </w:rPr>
        <w:t>Exclusive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Use Parking Passes</w:t>
      </w:r>
      <w:r>
        <w:rPr>
          <w:rFonts w:ascii="Times New Roman" w:cs="Times New Roman" w:eastAsia="Times New Roman" w:hAnsi="Times New Roman"/>
          <w:sz w:val="19"/>
          <w:szCs w:val="19"/>
          <w:color w:val="auto"/>
        </w:rPr>
        <w:t>”) in the location shown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Exhibit A-2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Landlord shall use commercially reasonable efforts to enforce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exclusive use against third parties and other tenants of the Project. Tenant’s continued right to use the parking passes is conditioned upon (a) Tenant abiding by all rules and regulations which are prescribed from time to time for the orderly operation and use of the Project parking facility(ies), including any sticker or other identification system established by Landlord, (b) Tenant’s cooperation in seeing that Tenant Parties (including Tenant’s employees and visitors) also comply with such rules and regulations, and (c) Tenant not being in default under this Lease (beyond any applicable notice and cure periods). Landlord specifically reserves the right to change the size, configuration, design, layout and all other aspects of the Project parking facility(ies) at any time and Tenant acknowledges and agrees that Landlord may, without incurring any liability to Tenant and without any abatement of Rent under this Lease, from time to time, close-off or restrict access to the Project area(s) or parking facility(ies), or relocate Tenant’s parking spaces to other parking facilities and/or surface parking areas within a reasonable distance (not to exceed one block) of the Premises, for purposes of permitting or facilitating any construction, alteration or improvements with respect to the parking area(s) or facility(ies) or to accommodate or facilitate renovation, alteration, construction or other modification of other improvements or structures located in the Project. Landlord may delegate its responsibilities hereunder to a parking operator in which case such parking operator shall have all the rights of control attributed hereby to the Landlord. The parking passes to which Tenant is entitled pursuant to this </w:t>
      </w:r>
      <w:r>
        <w:rPr>
          <w:rFonts w:ascii="Times New Roman" w:cs="Times New Roman" w:eastAsia="Times New Roman" w:hAnsi="Times New Roman"/>
          <w:sz w:val="19"/>
          <w:szCs w:val="19"/>
          <w:u w:val="single" w:color="auto"/>
          <w:color w:val="auto"/>
        </w:rPr>
        <w:t>Article 28</w:t>
      </w:r>
      <w:r>
        <w:rPr>
          <w:rFonts w:ascii="Times New Roman" w:cs="Times New Roman" w:eastAsia="Times New Roman" w:hAnsi="Times New Roman"/>
          <w:sz w:val="19"/>
          <w:szCs w:val="19"/>
          <w:color w:val="auto"/>
        </w:rPr>
        <w:t xml:space="preserve"> are provided to Tenant solely for use by Tenant Parties and such passes may not be transferred, assigned, subleased or otherwise alienated by Tenant without Landlord’s prior approval. Tenant may validate visitor parking by such method or methods as the Landlord may establish, at the validation rate from time to time generally applicable to visitor parking.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4" w:name="page445"/>
    <w:bookmarkEnd w:id="444"/>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ARTICLE 29.</w:t>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190"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29.1 </w:t>
      </w:r>
      <w:r>
        <w:rPr>
          <w:rFonts w:ascii="Times New Roman" w:cs="Times New Roman" w:eastAsia="Times New Roman" w:hAnsi="Times New Roman"/>
          <w:sz w:val="20"/>
          <w:szCs w:val="20"/>
          <w:b w:val="1"/>
          <w:bCs w:val="1"/>
          <w:u w:val="single" w:color="auto"/>
          <w:color w:val="auto"/>
        </w:rPr>
        <w:t>Transfer of Landlord’s Interest</w:t>
      </w:r>
      <w:r>
        <w:rPr>
          <w:rFonts w:ascii="Times New Roman" w:cs="Times New Roman" w:eastAsia="Times New Roman" w:hAnsi="Times New Roman"/>
          <w:sz w:val="20"/>
          <w:szCs w:val="20"/>
          <w:color w:val="auto"/>
        </w:rPr>
        <w:t>Tenant acknowledges that Landlord has the right to transfer all or any portion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the Project, the Building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Such transferee shall be without personal liability under this Lease, and Tenant hereby expressly waives and releases such personal liability on behalf of itself and all persons claiming by, through or under Tenant.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182" w:lineRule="exact"/>
        <w:rPr>
          <w:sz w:val="20"/>
          <w:szCs w:val="20"/>
          <w:color w:val="auto"/>
        </w:rPr>
      </w:pPr>
    </w:p>
    <w:p>
      <w:pPr>
        <w:ind w:left="84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29.2</w:t>
      </w:r>
      <w:r>
        <w:rPr>
          <w:sz w:val="20"/>
          <w:szCs w:val="20"/>
          <w:color w:val="auto"/>
        </w:rPr>
        <w:tab/>
      </w:r>
      <w:r>
        <w:rPr>
          <w:rFonts w:ascii="Times New Roman" w:cs="Times New Roman" w:eastAsia="Times New Roman" w:hAnsi="Times New Roman"/>
          <w:sz w:val="19"/>
          <w:szCs w:val="19"/>
          <w:b w:val="1"/>
          <w:bCs w:val="1"/>
          <w:u w:val="single" w:color="auto"/>
          <w:color w:val="auto"/>
        </w:rPr>
        <w:t>Time of Essence</w:t>
      </w:r>
      <w:r>
        <w:rPr>
          <w:rFonts w:ascii="Times New Roman" w:cs="Times New Roman" w:eastAsia="Times New Roman" w:hAnsi="Times New Roman"/>
          <w:sz w:val="19"/>
          <w:szCs w:val="19"/>
          <w:color w:val="auto"/>
        </w:rPr>
        <w:t>Time is of the essence of this Lease and each of its provisions.</w:t>
      </w:r>
    </w:p>
    <w:p>
      <w:pPr>
        <w:spacing w:after="0" w:line="216"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29.3 </w:t>
      </w:r>
      <w:r>
        <w:rPr>
          <w:rFonts w:ascii="Times New Roman" w:cs="Times New Roman" w:eastAsia="Times New Roman" w:hAnsi="Times New Roman"/>
          <w:sz w:val="20"/>
          <w:szCs w:val="20"/>
          <w:b w:val="1"/>
          <w:bCs w:val="1"/>
          <w:u w:val="single" w:color="auto"/>
          <w:color w:val="auto"/>
        </w:rPr>
        <w:t>No Air Rights</w:t>
      </w:r>
      <w:r>
        <w:rPr>
          <w:rFonts w:ascii="Times New Roman" w:cs="Times New Roman" w:eastAsia="Times New Roman" w:hAnsi="Times New Roman"/>
          <w:sz w:val="20"/>
          <w:szCs w:val="20"/>
          <w:color w:val="auto"/>
        </w:rPr>
        <w:t>No rights to any view or to light or air over any property, whether belonging to Landlord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76" w:lineRule="exact"/>
        <w:rPr>
          <w:sz w:val="20"/>
          <w:szCs w:val="20"/>
          <w:color w:val="auto"/>
        </w:rPr>
      </w:pPr>
    </w:p>
    <w:p>
      <w:pPr>
        <w:jc w:val="both"/>
        <w:ind w:firstLine="832"/>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29.4 </w:t>
      </w:r>
      <w:r>
        <w:rPr>
          <w:rFonts w:ascii="Times New Roman" w:cs="Times New Roman" w:eastAsia="Times New Roman" w:hAnsi="Times New Roman"/>
          <w:sz w:val="20"/>
          <w:szCs w:val="20"/>
          <w:b w:val="1"/>
          <w:bCs w:val="1"/>
          <w:u w:val="single" w:color="auto"/>
          <w:color w:val="auto"/>
        </w:rPr>
        <w:t>Prohibition Against Recording</w:t>
      </w:r>
      <w:r>
        <w:rPr>
          <w:rFonts w:ascii="Times New Roman" w:cs="Times New Roman" w:eastAsia="Times New Roman" w:hAnsi="Times New Roman"/>
          <w:sz w:val="20"/>
          <w:szCs w:val="20"/>
          <w:color w:val="auto"/>
        </w:rPr>
        <w:t>Neither this Lease, nor any memorandum, affidavit or other writing with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thereto, shall be recorded by Tenant or by anyone acting through, under or on behalf of Tenant, and the recording thereof in violation of this provision shall make this Lease null and void at Landlord’s election.</w:t>
      </w:r>
    </w:p>
    <w:p>
      <w:pPr>
        <w:spacing w:after="0" w:line="169" w:lineRule="exact"/>
        <w:rPr>
          <w:sz w:val="20"/>
          <w:szCs w:val="20"/>
          <w:color w:val="auto"/>
        </w:rPr>
      </w:pPr>
    </w:p>
    <w:p>
      <w:pPr>
        <w:jc w:val="both"/>
        <w:ind w:firstLine="832"/>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29.5 </w:t>
      </w:r>
      <w:r>
        <w:rPr>
          <w:rFonts w:ascii="Times New Roman" w:cs="Times New Roman" w:eastAsia="Times New Roman" w:hAnsi="Times New Roman"/>
          <w:sz w:val="20"/>
          <w:szCs w:val="20"/>
          <w:b w:val="1"/>
          <w:bCs w:val="1"/>
          <w:u w:val="single" w:color="auto"/>
          <w:color w:val="auto"/>
        </w:rPr>
        <w:t>Landlord’s Title</w:t>
      </w:r>
      <w:r>
        <w:rPr>
          <w:rFonts w:ascii="Times New Roman" w:cs="Times New Roman" w:eastAsia="Times New Roman" w:hAnsi="Times New Roman"/>
          <w:sz w:val="20"/>
          <w:szCs w:val="20"/>
          <w:color w:val="auto"/>
        </w:rPr>
        <w:t>Landlord’s title is and always shall be paramount to the title of Tenant. Nothing herein contained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empower Tenant to do any act which can, shall or may encumber the title of Landlord.</w:t>
      </w:r>
    </w:p>
    <w:p>
      <w:pPr>
        <w:spacing w:after="0" w:line="152" w:lineRule="exact"/>
        <w:rPr>
          <w:sz w:val="20"/>
          <w:szCs w:val="20"/>
          <w:color w:val="auto"/>
        </w:rPr>
      </w:pPr>
    </w:p>
    <w:p>
      <w:pPr>
        <w:jc w:val="both"/>
        <w:ind w:firstLine="832"/>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29.6 </w:t>
      </w:r>
      <w:r>
        <w:rPr>
          <w:rFonts w:ascii="Times New Roman" w:cs="Times New Roman" w:eastAsia="Times New Roman" w:hAnsi="Times New Roman"/>
          <w:sz w:val="20"/>
          <w:szCs w:val="20"/>
          <w:b w:val="1"/>
          <w:bCs w:val="1"/>
          <w:u w:val="single" w:color="auto"/>
          <w:color w:val="auto"/>
        </w:rPr>
        <w:t>Application of Payments</w:t>
      </w:r>
      <w:r>
        <w:rPr>
          <w:rFonts w:ascii="Times New Roman" w:cs="Times New Roman" w:eastAsia="Times New Roman" w:hAnsi="Times New Roman"/>
          <w:sz w:val="20"/>
          <w:szCs w:val="20"/>
          <w:color w:val="auto"/>
        </w:rPr>
        <w:t>Landlord shall have the right to apply payments received from Tenant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 regardless of Tenant’s designation of such payments, to satisfy any obligations of Tenant hereunder, in such order and amounts as Landlord, in its sole discretion, may elect.</w:t>
      </w:r>
    </w:p>
    <w:p>
      <w:pPr>
        <w:spacing w:after="0" w:line="169"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29.7 </w:t>
      </w:r>
      <w:r>
        <w:rPr>
          <w:rFonts w:ascii="Times New Roman" w:cs="Times New Roman" w:eastAsia="Times New Roman" w:hAnsi="Times New Roman"/>
          <w:sz w:val="20"/>
          <w:szCs w:val="20"/>
          <w:b w:val="1"/>
          <w:bCs w:val="1"/>
          <w:u w:val="single" w:color="auto"/>
          <w:color w:val="auto"/>
        </w:rPr>
        <w:t>Partial Invalidity</w:t>
      </w:r>
      <w:r>
        <w:rPr>
          <w:rFonts w:ascii="Times New Roman" w:cs="Times New Roman" w:eastAsia="Times New Roman" w:hAnsi="Times New Roman"/>
          <w:sz w:val="20"/>
          <w:szCs w:val="20"/>
          <w:color w:val="auto"/>
        </w:rPr>
        <w:t>If any term, provision or condition contained in this Lease shall, to any extent, be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45" w:name="page446"/>
    <w:bookmarkEnd w:id="445"/>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29.8 </w:t>
      </w:r>
      <w:r>
        <w:rPr>
          <w:rFonts w:ascii="Times New Roman" w:cs="Times New Roman" w:eastAsia="Times New Roman" w:hAnsi="Times New Roman"/>
          <w:sz w:val="20"/>
          <w:szCs w:val="20"/>
          <w:b w:val="1"/>
          <w:bCs w:val="1"/>
          <w:u w:val="single" w:color="auto"/>
          <w:color w:val="auto"/>
        </w:rPr>
        <w:t>Landlord Exculpation</w:t>
      </w:r>
      <w:r>
        <w:rPr>
          <w:rFonts w:ascii="Times New Roman" w:cs="Times New Roman" w:eastAsia="Times New Roman" w:hAnsi="Times New Roman"/>
          <w:sz w:val="20"/>
          <w:szCs w:val="20"/>
          <w:color w:val="auto"/>
        </w:rPr>
        <w:t>It is expressly understood and agreed that notwithstanding anything in this Lease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contrary, and notwithstanding any applicable law to the contrary, the liability of Landlord and the Landlord Parties hereunder (including any successor landlord) and any recourse by Tenant against Landlord or the Landlord Parties shall be limited solely and exclusively to an amount which is equal to the lesser of (a) the interest of Landlord in the Building or (b) the equity interest Landlord would have in the Building if the Building were encumbered by third-party debt in an amount equal to eighty percent (80%) of the value of the Building (as such value is determined by Landlord), and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cs="Times New Roman" w:eastAsia="Times New Roman" w:hAnsi="Times New Roman"/>
          <w:sz w:val="20"/>
          <w:szCs w:val="20"/>
          <w:u w:val="single" w:color="auto"/>
          <w:color w:val="auto"/>
        </w:rPr>
        <w:t>Section 29.8</w:t>
      </w:r>
      <w:r>
        <w:rPr>
          <w:rFonts w:ascii="Times New Roman" w:cs="Times New Roman" w:eastAsia="Times New Roman" w:hAnsi="Times New Roman"/>
          <w:sz w:val="20"/>
          <w:szCs w:val="20"/>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w:t>
      </w:r>
    </w:p>
    <w:p>
      <w:pPr>
        <w:spacing w:after="0" w:line="182"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29.9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All exhibits and addenda attached hereto are hereby incorporated in this Lease as if set forth in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is understood and acknowledged that there are no oral agreements between the parties hereto affecting this Lease and this Lease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This Lease and any side letter or separate agreement executed by Landlord and Tenant in connection with this Lease and dated of even date herewith contain all of the terms, covenants, conditions, warranties and agreements of the parties relating in any manner to the rental, use and occupancy of the Premises, shall be considered to be the only agreement between the parties hereto and their representatives and agents. All negotiations and oral agreements acceptable to both parties have been merged into and are included herein. There are no other representations or warranties between the parties, and all reliance with respect to representations is based totally upon the representations and agreements contained in this Lease.</w:t>
      </w:r>
    </w:p>
    <w:p>
      <w:pPr>
        <w:spacing w:after="0" w:line="182" w:lineRule="exact"/>
        <w:rPr>
          <w:sz w:val="20"/>
          <w:szCs w:val="20"/>
          <w:color w:val="auto"/>
        </w:rPr>
      </w:pPr>
    </w:p>
    <w:p>
      <w:pPr>
        <w:jc w:val="both"/>
        <w:ind w:firstLine="832"/>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29.10 </w:t>
      </w:r>
      <w:r>
        <w:rPr>
          <w:rFonts w:ascii="Times New Roman" w:cs="Times New Roman" w:eastAsia="Times New Roman" w:hAnsi="Times New Roman"/>
          <w:sz w:val="20"/>
          <w:szCs w:val="20"/>
          <w:b w:val="1"/>
          <w:bCs w:val="1"/>
          <w:u w:val="single" w:color="auto"/>
          <w:color w:val="auto"/>
        </w:rPr>
        <w:t>Waiver of Redemption by Tenant</w:t>
      </w:r>
      <w:r>
        <w:rPr>
          <w:rFonts w:ascii="Times New Roman" w:cs="Times New Roman" w:eastAsia="Times New Roman" w:hAnsi="Times New Roman"/>
          <w:sz w:val="20"/>
          <w:szCs w:val="20"/>
          <w:color w:val="auto"/>
        </w:rPr>
        <w:t>Tenant hereby waives for Tenant and for all those claiming under Tenant all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now or hereafter existing to redeem by order or judgment of any court or by any legal process or writ, Tenant’s right of occupancy of the Premises after any termination of this Lease.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46" w:name="page447"/>
    <w:bookmarkEnd w:id="446"/>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29.11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All notices, demands, statements or communications (collectively, “</w:t>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given or required to be given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either party to the other hereunder shall be in writing, and shall be (A) delivered by a nationally recognized overnight courier, or (B) delivered personally, (i) to Tenant at the appropriate address set forth in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of the Summary, or to such other place as Tenant may from time to time designate in a Notice to Landlord; or (ii) to Landlord at the addresses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Summary, or to such other firm or to such other place as Landlord may from time to time designate in a Notice to Tenant. Any Notice will be deemed given on the date of receipted delivery, of refusal to accept delivery, or when delivery is first attempted but cannot be made due to a change of address for which no Notice was given. If Tenant is notified of the identity and address of Landlord’s mortgagee or ground or underlying lessor, Tenant shall give to such mortgagee or ground or underlying lessor written notice of any default by Landlord under the terms of this Lease by registered or certified mail, and such mortgagee or ground or underlying lessor shall be given a reasonable opportunity to cure such default prior to Tenant’s exercising any remedy available to Tenant. The party delivering Notice shall use commercially reasonable efforts to provide a courtesy copy of each such Notice to the receiving party via electronic mail.</w:t>
      </w:r>
    </w:p>
    <w:p>
      <w:pPr>
        <w:spacing w:after="0" w:line="190" w:lineRule="exact"/>
        <w:rPr>
          <w:sz w:val="20"/>
          <w:szCs w:val="20"/>
          <w:color w:val="auto"/>
        </w:rPr>
      </w:pPr>
    </w:p>
    <w:p>
      <w:pPr>
        <w:jc w:val="both"/>
        <w:ind w:firstLine="832"/>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29.12 </w:t>
      </w:r>
      <w:r>
        <w:rPr>
          <w:rFonts w:ascii="Times New Roman" w:cs="Times New Roman" w:eastAsia="Times New Roman" w:hAnsi="Times New Roman"/>
          <w:sz w:val="20"/>
          <w:szCs w:val="20"/>
          <w:b w:val="1"/>
          <w:bCs w:val="1"/>
          <w:u w:val="single" w:color="auto"/>
          <w:color w:val="auto"/>
        </w:rPr>
        <w:t>Attorneys’ Fees</w:t>
      </w:r>
      <w:r>
        <w:rPr>
          <w:rFonts w:ascii="Times New Roman" w:cs="Times New Roman" w:eastAsia="Times New Roman" w:hAnsi="Times New Roman"/>
          <w:sz w:val="20"/>
          <w:szCs w:val="20"/>
          <w:color w:val="auto"/>
        </w:rPr>
        <w:t>In the event that either Landlord or Tenant should bring suit for the possession of the Premises,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80" w:lineRule="exact"/>
        <w:rPr>
          <w:sz w:val="20"/>
          <w:szCs w:val="20"/>
          <w:color w:val="auto"/>
        </w:rPr>
      </w:pPr>
    </w:p>
    <w:p>
      <w:pPr>
        <w:jc w:val="both"/>
        <w:ind w:firstLine="832"/>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29.13 </w:t>
      </w:r>
      <w:r>
        <w:rPr>
          <w:rFonts w:ascii="Times New Roman" w:cs="Times New Roman" w:eastAsia="Times New Roman" w:hAnsi="Times New Roman"/>
          <w:sz w:val="20"/>
          <w:szCs w:val="20"/>
          <w:b w:val="1"/>
          <w:bCs w:val="1"/>
          <w:u w:val="single" w:color="auto"/>
          <w:color w:val="auto"/>
        </w:rPr>
        <w:t>Governing Law; WAIVER OF TRIAL BY JURY</w:t>
      </w:r>
      <w:r>
        <w:rPr>
          <w:rFonts w:ascii="Times New Roman" w:cs="Times New Roman" w:eastAsia="Times New Roman" w:hAnsi="Times New Roman"/>
          <w:sz w:val="20"/>
          <w:szCs w:val="20"/>
          <w:color w:val="auto"/>
        </w:rPr>
        <w:t>This Lease shall be construed and enforced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State of Washington. IN ANY ACTION OR PROCEEDING ARISING HEREFROM, LANDLORD AND TENANT HEREBY CONSENT TO (I) THE JURISDICTION OF ANY COMPETENT COURT WITHIN THE STATE OF WASHINGTON, (II) SERVICE OF PROCESS BY ANY MEANS AUTHORIZED BY WASHINGTON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47" w:name="page448"/>
    <w:bookmarkEnd w:id="447"/>
    <w:p>
      <w:pPr>
        <w:jc w:val="both"/>
        <w:ind w:firstLine="832"/>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29.14 </w:t>
      </w: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color w:val="auto"/>
        </w:rPr>
        <w:t>Other than the Brokers (as defined below), Landlord and Tenant hereby warrant to each other that they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had no dealings with any real estate broker or agent in connection with the negotiation of this Lease. Each of Landlord and Tenant hereby covenant that it knows of no real estate broker or agent who is entitled to a commission in connection with this Lease, excepting only the real estate brokers or agents specified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Brokers</w:t>
      </w:r>
      <w:r>
        <w:rPr>
          <w:rFonts w:ascii="Times New Roman" w:cs="Times New Roman" w:eastAsia="Times New Roman" w:hAnsi="Times New Roman"/>
          <w:sz w:val="20"/>
          <w:szCs w:val="20"/>
          <w:color w:val="auto"/>
        </w:rPr>
        <w:t>”), whose commissions shall be paid solely by Landlord.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w:t>
      </w:r>
    </w:p>
    <w:p>
      <w:pPr>
        <w:spacing w:after="0" w:line="182"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29.15 </w:t>
      </w:r>
      <w:r>
        <w:rPr>
          <w:rFonts w:ascii="Times New Roman" w:cs="Times New Roman" w:eastAsia="Times New Roman" w:hAnsi="Times New Roman"/>
          <w:sz w:val="20"/>
          <w:szCs w:val="20"/>
          <w:b w:val="1"/>
          <w:bCs w:val="1"/>
          <w:u w:val="single" w:color="auto"/>
          <w:color w:val="auto"/>
        </w:rPr>
        <w:t>Independent Covenants</w:t>
      </w:r>
      <w:r>
        <w:rPr>
          <w:rFonts w:ascii="Times New Roman" w:cs="Times New Roman" w:eastAsia="Times New Roman" w:hAnsi="Times New Roman"/>
          <w:sz w:val="20"/>
          <w:szCs w:val="20"/>
          <w:color w:val="auto"/>
        </w:rPr>
        <w:t>This Lease shall be construed as though the covenants herein between Landlord and Tenant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76"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29.16 </w:t>
      </w:r>
      <w:r>
        <w:rPr>
          <w:rFonts w:ascii="Times New Roman" w:cs="Times New Roman" w:eastAsia="Times New Roman" w:hAnsi="Times New Roman"/>
          <w:sz w:val="20"/>
          <w:szCs w:val="20"/>
          <w:b w:val="1"/>
          <w:bCs w:val="1"/>
          <w:u w:val="single" w:color="auto"/>
          <w:color w:val="auto"/>
        </w:rPr>
        <w:t>No Representations or Warranties by Landlord</w:t>
      </w:r>
      <w:r>
        <w:rPr>
          <w:rFonts w:ascii="Times New Roman" w:cs="Times New Roman" w:eastAsia="Times New Roman" w:hAnsi="Times New Roman"/>
          <w:sz w:val="20"/>
          <w:szCs w:val="20"/>
          <w:color w:val="auto"/>
        </w:rPr>
        <w:t>Tenant hereby specifically acknowledges and agrees that,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may be expressly set forth in the Lease or Tenant Work Letter, (i) Landlord has made no representations or warranties to Tenant with regard to any of the following, and (ii) Landlord has no obligation and has made no promises with regard to any of the following: (A) the alteration, remodeling, improvement, renovations, repair or decoration of the Premises, Building, Common Areas (including any parking facilities) or any part thereof, (B) the condition, appearance and configuration of the Premises, Building, the Common Areas (including any parking facilities) or any part thereof, and/or (C) the “Other Improvements,” as that term is defined in </w:t>
      </w:r>
      <w:r>
        <w:rPr>
          <w:rFonts w:ascii="Times New Roman" w:cs="Times New Roman" w:eastAsia="Times New Roman" w:hAnsi="Times New Roman"/>
          <w:sz w:val="20"/>
          <w:szCs w:val="20"/>
          <w:u w:val="single" w:color="auto"/>
          <w:color w:val="auto"/>
        </w:rPr>
        <w:t>Section 29.17</w:t>
      </w:r>
      <w:r>
        <w:rPr>
          <w:rFonts w:ascii="Times New Roman" w:cs="Times New Roman" w:eastAsia="Times New Roman" w:hAnsi="Times New Roman"/>
          <w:sz w:val="20"/>
          <w:szCs w:val="20"/>
          <w:color w:val="auto"/>
        </w:rPr>
        <w:t>, below.</w:t>
      </w:r>
    </w:p>
    <w:p>
      <w:pPr>
        <w:spacing w:after="0" w:line="179" w:lineRule="exact"/>
        <w:rPr>
          <w:sz w:val="20"/>
          <w:szCs w:val="20"/>
          <w:color w:val="auto"/>
        </w:rPr>
      </w:pPr>
    </w:p>
    <w:p>
      <w:pPr>
        <w:ind w:left="8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29.17</w:t>
      </w:r>
      <w:r>
        <w:rPr>
          <w:sz w:val="20"/>
          <w:szCs w:val="20"/>
          <w:color w:val="auto"/>
        </w:rPr>
        <w:tab/>
      </w:r>
      <w:r>
        <w:rPr>
          <w:rFonts w:ascii="Times New Roman" w:cs="Times New Roman" w:eastAsia="Times New Roman" w:hAnsi="Times New Roman"/>
          <w:sz w:val="19"/>
          <w:szCs w:val="19"/>
          <w:b w:val="1"/>
          <w:bCs w:val="1"/>
          <w:u w:val="single" w:color="auto"/>
          <w:color w:val="auto"/>
        </w:rPr>
        <w:t>Development of the Building and Project.</w:t>
      </w:r>
    </w:p>
    <w:p>
      <w:pPr>
        <w:spacing w:after="0" w:line="216" w:lineRule="exact"/>
        <w:rPr>
          <w:sz w:val="20"/>
          <w:szCs w:val="20"/>
          <w:color w:val="auto"/>
        </w:rPr>
      </w:pPr>
    </w:p>
    <w:p>
      <w:pPr>
        <w:jc w:val="both"/>
        <w:ind w:right="20" w:firstLine="166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29.17.1. </w:t>
      </w:r>
      <w:r>
        <w:rPr>
          <w:rFonts w:ascii="Times New Roman" w:cs="Times New Roman" w:eastAsia="Times New Roman" w:hAnsi="Times New Roman"/>
          <w:sz w:val="20"/>
          <w:szCs w:val="20"/>
          <w:b w:val="1"/>
          <w:bCs w:val="1"/>
          <w:u w:val="single" w:color="auto"/>
          <w:color w:val="auto"/>
        </w:rPr>
        <w:t>Subdivision</w:t>
      </w:r>
      <w:r>
        <w:rPr>
          <w:rFonts w:ascii="Times New Roman" w:cs="Times New Roman" w:eastAsia="Times New Roman" w:hAnsi="Times New Roman"/>
          <w:sz w:val="20"/>
          <w:szCs w:val="20"/>
          <w:color w:val="auto"/>
        </w:rPr>
        <w:t>. Landlord reserves the right to further subdivide all or a portion of the Project. Tenant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to execute and deliver, upon demand by Landlord and in the form requested by Landlord, any additional documents needed to conform this Lease to the circumstances resulting from such subdivision.</w:t>
      </w:r>
    </w:p>
    <w:p>
      <w:pPr>
        <w:spacing w:after="0" w:line="169" w:lineRule="exact"/>
        <w:rPr>
          <w:sz w:val="20"/>
          <w:szCs w:val="20"/>
          <w:color w:val="auto"/>
        </w:rPr>
      </w:pPr>
    </w:p>
    <w:p>
      <w:pPr>
        <w:jc w:val="both"/>
        <w:ind w:firstLine="1663"/>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29.17.2. </w:t>
      </w:r>
      <w:r>
        <w:rPr>
          <w:rFonts w:ascii="Times New Roman" w:cs="Times New Roman" w:eastAsia="Times New Roman" w:hAnsi="Times New Roman"/>
          <w:sz w:val="20"/>
          <w:szCs w:val="20"/>
          <w:b w:val="1"/>
          <w:bCs w:val="1"/>
          <w:u w:val="single" w:color="auto"/>
          <w:color w:val="auto"/>
        </w:rPr>
        <w:t>The Other Improvements</w:t>
      </w:r>
      <w:r>
        <w:rPr>
          <w:rFonts w:ascii="Times New Roman" w:cs="Times New Roman" w:eastAsia="Times New Roman" w:hAnsi="Times New Roman"/>
          <w:sz w:val="20"/>
          <w:szCs w:val="20"/>
          <w:color w:val="auto"/>
        </w:rPr>
        <w:t>. If portions of the Project or property adjacent to the Project (collectively,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Other Improvements</w:t>
      </w:r>
      <w:r>
        <w:rPr>
          <w:rFonts w:ascii="Times New Roman" w:cs="Times New Roman" w:eastAsia="Times New Roman" w:hAnsi="Times New Roman"/>
          <w:sz w:val="20"/>
          <w:szCs w:val="20"/>
          <w:color w:val="auto"/>
        </w:rPr>
        <w:t>”) are owned by an entity other than Landlord, Landlord, at its option, may enter into an agreement with the owner or owners of any or all of the Other Improvements to provide (i) for reciprocal rights of access and/or use of the Project and the Other Improvements, (ii) for the common management, operation, maintenance, improvement and/or repair of all or any portion of the Project and the Other Improvements, (iii) for the allocation of a portion of the Direct Expenses to the Other Improvements and the operating expenses and taxes for the Other Improvements to the Project, (iv) for the use or improvement of the Other Improvements and/or the Project in connection with the improvement, construction, and/or excavation of the Other Improvements and/or the Project; and (v) for any other matter which Landlord deems necessary. Nothing contained herein shall be deemed or construed to limit or otherwise affect Landlord’s right to convey all or any portion of the Project or any other of Landlord’s rights described in this Lease.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48" w:name="page449"/>
    <w:bookmarkEnd w:id="448"/>
    <w:p>
      <w:pPr>
        <w:jc w:val="both"/>
        <w:ind w:firstLine="1663"/>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29.17.3. </w:t>
      </w:r>
      <w:r>
        <w:rPr>
          <w:rFonts w:ascii="Times New Roman" w:cs="Times New Roman" w:eastAsia="Times New Roman" w:hAnsi="Times New Roman"/>
          <w:sz w:val="20"/>
          <w:szCs w:val="20"/>
          <w:b w:val="1"/>
          <w:bCs w:val="1"/>
          <w:u w:val="single" w:color="auto"/>
          <w:color w:val="auto"/>
        </w:rPr>
        <w:t>Building Renovations</w:t>
      </w:r>
      <w:r>
        <w:rPr>
          <w:rFonts w:ascii="Times New Roman" w:cs="Times New Roman" w:eastAsia="Times New Roman" w:hAnsi="Times New Roman"/>
          <w:sz w:val="20"/>
          <w:szCs w:val="20"/>
          <w:color w:val="auto"/>
        </w:rPr>
        <w:t>. It is specifically understood and agreed that Landlord has no obligation and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no promises to alter, remodel, improve, renovate, repair or decorate the Premises, Building, or any part thereof and that no representations respecting the condition of the Premises or the Building have been made by Landlord to Tenant except as specifically set forth herein or in the Tenant Work Letter. However, Tenant hereby acknowledges that Landlord is currently renovating or may during the Lease Term renovate, improve, alter, or modify (collectively, the “</w:t>
      </w:r>
      <w:r>
        <w:rPr>
          <w:rFonts w:ascii="Times New Roman" w:cs="Times New Roman" w:eastAsia="Times New Roman" w:hAnsi="Times New Roman"/>
          <w:sz w:val="20"/>
          <w:szCs w:val="20"/>
          <w:b w:val="1"/>
          <w:bCs w:val="1"/>
          <w:color w:val="auto"/>
        </w:rPr>
        <w:t>Renovations</w:t>
      </w:r>
      <w:r>
        <w:rPr>
          <w:rFonts w:ascii="Times New Roman" w:cs="Times New Roman" w:eastAsia="Times New Roman" w:hAnsi="Times New Roman"/>
          <w:sz w:val="20"/>
          <w:szCs w:val="20"/>
          <w:color w:val="auto"/>
        </w:rPr>
        <w:t>”) the Project, the Building and/or the Premises, including, without limitation, the parking area(s)/facility(ies), Common Areas, systems and equipment, roof, and structural portions of the same. In connection with such Renovations, Landlord may, among other things, erect scaffolding or other necessary structures in the Project and/or Building, limit or eliminate access to portions of the Project, including portions of the Common Areas, or perform work in the Project and/or Building, which work may create noise, dust or leave debris in the Project and/or Building. Landlord shall use commercially reasonable efforts to complete any Renovations in a manner which does not materially and adversely affect Tenant’s use of or access to the Premises. Notwithstanding the foregoing, Tenant hereby agrees that such Renovations shall in no way constitute a constructive eviction of Tenant nor entitle Tenant to any abatement of Rent. Landlord shall have no responsibility and shall not be liable to Tenant for any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for any inconvenience or annoyance occasioned by such Renovations.</w:t>
      </w:r>
    </w:p>
    <w:p>
      <w:pPr>
        <w:spacing w:after="0" w:line="194" w:lineRule="exact"/>
        <w:rPr>
          <w:sz w:val="20"/>
          <w:szCs w:val="20"/>
          <w:color w:val="auto"/>
        </w:rPr>
      </w:pPr>
    </w:p>
    <w:p>
      <w:pPr>
        <w:jc w:val="both"/>
        <w:ind w:firstLine="832"/>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29.18 </w:t>
      </w: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Each of the provisions of this Lease shall extend to and shall, as the case may require, bind or inure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benefit not only of Landlord and of Tenant, but also of their respective successors or assigns, provided this clause shall not permit any assignment by Tenant contrary to the provisions of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of this Lease.</w:t>
      </w:r>
    </w:p>
    <w:p>
      <w:pPr>
        <w:spacing w:after="0" w:line="169" w:lineRule="exact"/>
        <w:rPr>
          <w:sz w:val="20"/>
          <w:szCs w:val="20"/>
          <w:color w:val="auto"/>
        </w:rPr>
      </w:pPr>
    </w:p>
    <w:p>
      <w:pPr>
        <w:jc w:val="both"/>
        <w:ind w:firstLine="832"/>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29.19 </w:t>
      </w:r>
      <w:r>
        <w:rPr>
          <w:rFonts w:ascii="Times New Roman" w:cs="Times New Roman" w:eastAsia="Times New Roman" w:hAnsi="Times New Roman"/>
          <w:sz w:val="20"/>
          <w:szCs w:val="20"/>
          <w:b w:val="1"/>
          <w:bCs w:val="1"/>
          <w:u w:val="single" w:color="auto"/>
          <w:color w:val="auto"/>
        </w:rPr>
        <w:t>Modification of Lease</w:t>
      </w:r>
      <w:r>
        <w:rPr>
          <w:rFonts w:ascii="Times New Roman" w:cs="Times New Roman" w:eastAsia="Times New Roman" w:hAnsi="Times New Roman"/>
          <w:sz w:val="20"/>
          <w:szCs w:val="20"/>
          <w:color w:val="auto"/>
        </w:rPr>
        <w:t>Should any current or prospective mortgagee or ground lessor for the Building require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modification or modifications of this Lease, which modification or modifications will not cause an increased cost or expense to Tenant or in any other way materially and adversely change the rights and obligations of Tenant hereunder, then and in such event, Tenant agrees that this Lease may be so modified and agrees to execute whatever documents are required therefor and deliver the same to Landlord within ten (10) days following the request therefor. Should Landlord or any such current or prospective mortgagee or ground lessor require execution of a short form of Lease for recording, containing, among other customary provisions, the names of the parties, a description of the Premises and the Lease Term, Tenant agrees to execute such short form of Lease and to deliver the same to Landlord within ten (10) business days following the request therefor.</w:t>
      </w:r>
    </w:p>
    <w:p>
      <w:pPr>
        <w:spacing w:after="0" w:line="182" w:lineRule="exact"/>
        <w:rPr>
          <w:sz w:val="20"/>
          <w:szCs w:val="20"/>
          <w:color w:val="auto"/>
        </w:rPr>
      </w:pPr>
    </w:p>
    <w:p>
      <w:pPr>
        <w:jc w:val="both"/>
        <w:ind w:firstLine="832"/>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29.20 </w:t>
      </w:r>
      <w:r>
        <w:rPr>
          <w:rFonts w:ascii="Times New Roman" w:cs="Times New Roman" w:eastAsia="Times New Roman" w:hAnsi="Times New Roman"/>
          <w:sz w:val="20"/>
          <w:szCs w:val="20"/>
          <w:b w:val="1"/>
          <w:bCs w:val="1"/>
          <w:u w:val="single" w:color="auto"/>
          <w:color w:val="auto"/>
        </w:rPr>
        <w:t>Quiet Enjoyment</w:t>
      </w:r>
      <w:r>
        <w:rPr>
          <w:rFonts w:ascii="Times New Roman" w:cs="Times New Roman" w:eastAsia="Times New Roman" w:hAnsi="Times New Roman"/>
          <w:sz w:val="20"/>
          <w:szCs w:val="20"/>
          <w:color w:val="auto"/>
        </w:rPr>
        <w:t>Landlord covenants that Tenant, on paying the Rent, charges for services and other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49" w:name="page450"/>
    <w:bookmarkEnd w:id="449"/>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29.21 </w:t>
      </w:r>
      <w:r>
        <w:rPr>
          <w:rFonts w:ascii="Times New Roman" w:cs="Times New Roman" w:eastAsia="Times New Roman" w:hAnsi="Times New Roman"/>
          <w:sz w:val="20"/>
          <w:szCs w:val="20"/>
          <w:b w:val="1"/>
          <w:bCs w:val="1"/>
          <w:u w:val="single" w:color="auto"/>
          <w:color w:val="auto"/>
        </w:rPr>
        <w:t>Relationship of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contained in this Lease shall be deemed or construed by the parties hereto or by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to create the relationship of principal and agent, partnership, joint venturer or any association between Landlord and Tenant, it being expressly understood and agreed that neither the method of computation of Rent nor any act of the parties hereto shall be deemed to create any relationship between Landlord and Tenant other than the relationship of landlord and tenant.</w:t>
      </w:r>
    </w:p>
    <w:p>
      <w:pPr>
        <w:spacing w:after="0" w:line="176"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29.22 </w:t>
      </w:r>
      <w:r>
        <w:rPr>
          <w:rFonts w:ascii="Times New Roman" w:cs="Times New Roman" w:eastAsia="Times New Roman" w:hAnsi="Times New Roman"/>
          <w:sz w:val="20"/>
          <w:szCs w:val="20"/>
          <w:b w:val="1"/>
          <w:bCs w:val="1"/>
          <w:u w:val="single" w:color="auto"/>
          <w:color w:val="auto"/>
        </w:rPr>
        <w:t>Security Measures</w:t>
      </w:r>
      <w:r>
        <w:rPr>
          <w:rFonts w:ascii="Times New Roman" w:cs="Times New Roman" w:eastAsia="Times New Roman" w:hAnsi="Times New Roman"/>
          <w:sz w:val="20"/>
          <w:szCs w:val="20"/>
          <w:color w:val="auto"/>
        </w:rPr>
        <w:t>Tenant hereby acknowledges that Landlord shall have no obligations whatsoever to Tenant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guard service or other security measures for the benefit of the Premises or the Project, and Landlord shall have no liability to Tenant due to its failure to provide such services. Tenant assumes all responsibility for the protection of Tenant, its agents, employees, contractors and invitees and the property of Tenant and of Tenant’s agents, employees, contractors and invitees from acts of third parties. Tenant agrees to adopt and implement reasonable security measures for the operation of its business in the Premises. Tenant acknowledges that Landlord currently does not provide guard service with respect to the Project but nothing herein contained shall prevent Landlord, at Landlord’s sole option, from implementing security measures for the Project or any part thereof; Tenant agrees to reasonably cooperate with and participate in all such security measures, and Landlord shall have no liability to Tenant and its agents, employees, contractors and invitees arising out of Landlord’s provision of security measures.</w:t>
      </w:r>
    </w:p>
    <w:p>
      <w:pPr>
        <w:spacing w:after="0" w:line="186" w:lineRule="exact"/>
        <w:rPr>
          <w:sz w:val="20"/>
          <w:szCs w:val="20"/>
          <w:color w:val="auto"/>
        </w:rPr>
      </w:pPr>
    </w:p>
    <w:p>
      <w:pPr>
        <w:jc w:val="both"/>
        <w:ind w:firstLine="832"/>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29.23 </w:t>
      </w:r>
      <w:r>
        <w:rPr>
          <w:rFonts w:ascii="Times New Roman" w:cs="Times New Roman" w:eastAsia="Times New Roman" w:hAnsi="Times New Roman"/>
          <w:sz w:val="20"/>
          <w:szCs w:val="20"/>
          <w:b w:val="1"/>
          <w:bCs w:val="1"/>
          <w:u w:val="single" w:color="auto"/>
          <w:color w:val="auto"/>
        </w:rPr>
        <w:t>Counterparts/ “Person”</w:t>
      </w:r>
      <w:r>
        <w:rPr>
          <w:rFonts w:ascii="Times New Roman" w:cs="Times New Roman" w:eastAsia="Times New Roman" w:hAnsi="Times New Roman"/>
          <w:sz w:val="20"/>
          <w:szCs w:val="20"/>
          <w:color w:val="auto"/>
        </w:rPr>
        <w:t>This Lease may be executed in counterparts with the same effect as if both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had executed the same document. Both counterparts shall be construed together and shall constitute a single lease. The parties may exchange counterpart signatures by facsimile or electronic transmission and the same shall constitute delivery of this Lease with respect to the delivering party. If a variation or discrepancy among counterparts occurs, the copy of this Lease in Landlord’s possession shall control. As used in this Lease, the term “person” shall mean include both natural persons and entities.</w:t>
      </w:r>
    </w:p>
    <w:p>
      <w:pPr>
        <w:spacing w:after="0" w:line="180"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29.24 </w:t>
      </w:r>
      <w:r>
        <w:rPr>
          <w:rFonts w:ascii="Times New Roman" w:cs="Times New Roman" w:eastAsia="Times New Roman" w:hAnsi="Times New Roman"/>
          <w:sz w:val="20"/>
          <w:szCs w:val="20"/>
          <w:b w:val="1"/>
          <w:bCs w:val="1"/>
          <w:u w:val="single" w:color="auto"/>
          <w:color w:val="auto"/>
        </w:rPr>
        <w:t>Modifications</w:t>
      </w:r>
      <w:r>
        <w:rPr>
          <w:rFonts w:ascii="Times New Roman" w:cs="Times New Roman" w:eastAsia="Times New Roman" w:hAnsi="Times New Roman"/>
          <w:sz w:val="20"/>
          <w:szCs w:val="20"/>
          <w:color w:val="auto"/>
        </w:rPr>
        <w:t>No alteration, modification, amendment or interpretation of this Lease shall be binding on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contained in a writing that is signed by both parties. No actions, policies, oral or informal arrangements, business dealings or other course of conduct by or between the parties shall be deemed to amend this Lease or revise this Lease in any respect. In the event of any inconsistency between the terms contained in the attached Exhibits and any specific provision of this Lease, the terms contained in this Lease shall prevail. However, in the event of any inconsistency between the terms contained in any Addendum attached to this Lease and any specific provision of this Lease, the terms contained in the Addendum shall prevail.</w:t>
      </w:r>
    </w:p>
    <w:p>
      <w:pPr>
        <w:spacing w:after="0" w:line="179" w:lineRule="exact"/>
        <w:rPr>
          <w:sz w:val="20"/>
          <w:szCs w:val="20"/>
          <w:color w:val="auto"/>
        </w:rPr>
      </w:pPr>
    </w:p>
    <w:p>
      <w:pPr>
        <w:jc w:val="both"/>
        <w:ind w:firstLine="832"/>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29.25 </w:t>
      </w:r>
      <w:r>
        <w:rPr>
          <w:rFonts w:ascii="Times New Roman" w:cs="Times New Roman" w:eastAsia="Times New Roman" w:hAnsi="Times New Roman"/>
          <w:sz w:val="19"/>
          <w:szCs w:val="19"/>
          <w:b w:val="1"/>
          <w:bCs w:val="1"/>
          <w:u w:val="single" w:color="auto"/>
          <w:color w:val="auto"/>
        </w:rPr>
        <w:t>Right to Lease</w:t>
      </w:r>
      <w:r>
        <w:rPr>
          <w:rFonts w:ascii="Times New Roman" w:cs="Times New Roman" w:eastAsia="Times New Roman" w:hAnsi="Times New Roman"/>
          <w:sz w:val="19"/>
          <w:szCs w:val="19"/>
          <w:color w:val="auto"/>
        </w:rPr>
        <w:t>Landlord reserves the absolute right to effect such other tenancies in the Building as Landlord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exercise of its sole business judgment shall determine to best promote the interests of the Building. Tenant does not rely on the fact, nor does Landlord represent, that any specific tenant or type or number of tenants shall, during the Lease Term, occupy any space in the Building.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50" w:name="page451"/>
    <w:bookmarkEnd w:id="450"/>
    <w:p>
      <w:pPr>
        <w:jc w:val="both"/>
        <w:ind w:firstLine="832"/>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29.26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The obligations of the indemnifying party under each and every indemnification provision contained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 shall survive the expiration or earlier termination of this Lease. The representations, warranties and covenants of the parties contained in this Lease shall survive the expiration or earlier termination of this Lease.</w:t>
      </w:r>
    </w:p>
    <w:p>
      <w:pPr>
        <w:spacing w:after="0" w:line="169"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29.27 </w:t>
      </w:r>
      <w:r>
        <w:rPr>
          <w:rFonts w:ascii="Times New Roman" w:cs="Times New Roman" w:eastAsia="Times New Roman" w:hAnsi="Times New Roman"/>
          <w:sz w:val="20"/>
          <w:szCs w:val="20"/>
          <w:b w:val="1"/>
          <w:bCs w:val="1"/>
          <w:u w:val="single" w:color="auto"/>
          <w:color w:val="auto"/>
        </w:rPr>
        <w:t>No Warranty</w:t>
      </w:r>
      <w:r>
        <w:rPr>
          <w:rFonts w:ascii="Times New Roman" w:cs="Times New Roman" w:eastAsia="Times New Roman" w:hAnsi="Times New Roman"/>
          <w:sz w:val="20"/>
          <w:szCs w:val="20"/>
          <w:color w:val="auto"/>
        </w:rPr>
        <w:t>In executing and delivering this Lease, Tenant has not relied on any representation, including, but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to, any representation whatsoever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76" w:lineRule="exact"/>
        <w:rPr>
          <w:sz w:val="20"/>
          <w:szCs w:val="20"/>
          <w:color w:val="auto"/>
        </w:rPr>
      </w:pPr>
    </w:p>
    <w:p>
      <w:pPr>
        <w:jc w:val="both"/>
        <w:ind w:firstLine="832"/>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29.28 </w:t>
      </w:r>
      <w:r>
        <w:rPr>
          <w:rFonts w:ascii="Times New Roman" w:cs="Times New Roman" w:eastAsia="Times New Roman" w:hAnsi="Times New Roman"/>
          <w:sz w:val="20"/>
          <w:szCs w:val="20"/>
          <w:b w:val="1"/>
          <w:bCs w:val="1"/>
          <w:u w:val="single" w:color="auto"/>
          <w:color w:val="auto"/>
        </w:rPr>
        <w:t>Joint and Several</w:t>
      </w:r>
      <w:r>
        <w:rPr>
          <w:rFonts w:ascii="Times New Roman" w:cs="Times New Roman" w:eastAsia="Times New Roman" w:hAnsi="Times New Roman"/>
          <w:sz w:val="20"/>
          <w:szCs w:val="20"/>
          <w:color w:val="auto"/>
        </w:rPr>
        <w:t>If there is more than one Tenant, the obligations imposed upon Tenant under this Lease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joint and several.</w:t>
      </w:r>
    </w:p>
    <w:p>
      <w:pPr>
        <w:spacing w:after="0" w:line="152"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29.29 </w:t>
      </w:r>
      <w:r>
        <w:rPr>
          <w:rFonts w:ascii="Times New Roman" w:cs="Times New Roman" w:eastAsia="Times New Roman" w:hAnsi="Times New Roman"/>
          <w:sz w:val="20"/>
          <w:szCs w:val="20"/>
          <w:b w:val="1"/>
          <w:bCs w:val="1"/>
          <w:u w:val="single" w:color="auto"/>
          <w:color w:val="auto"/>
        </w:rPr>
        <w:t>Authority; No Violation</w:t>
      </w:r>
      <w:r>
        <w:rPr>
          <w:rFonts w:ascii="Times New Roman" w:cs="Times New Roman" w:eastAsia="Times New Roman" w:hAnsi="Times New Roman"/>
          <w:sz w:val="20"/>
          <w:szCs w:val="20"/>
          <w:color w:val="auto"/>
        </w:rPr>
        <w:t>If Tenant is a corporation, trust, partnership, or limited liability company, each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executing this Lease on behalf of Tenant hereby represents and warrants that Tenant is a duly formed and existing entity qualified to do business in the state in which the Building is located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Washington.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82" w:lineRule="exact"/>
        <w:rPr>
          <w:sz w:val="20"/>
          <w:szCs w:val="20"/>
          <w:color w:val="auto"/>
        </w:rPr>
      </w:pPr>
    </w:p>
    <w:p>
      <w:pPr>
        <w:jc w:val="both"/>
        <w:ind w:firstLine="832"/>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29.30 </w:t>
      </w:r>
      <w:r>
        <w:rPr>
          <w:rFonts w:ascii="Times New Roman" w:cs="Times New Roman" w:eastAsia="Times New Roman" w:hAnsi="Times New Roman"/>
          <w:sz w:val="20"/>
          <w:szCs w:val="20"/>
          <w:b w:val="1"/>
          <w:bCs w:val="1"/>
          <w:u w:val="single" w:color="auto"/>
          <w:color w:val="auto"/>
        </w:rPr>
        <w:t>Submission of Lease</w:t>
      </w:r>
      <w:r>
        <w:rPr>
          <w:rFonts w:ascii="Times New Roman" w:cs="Times New Roman" w:eastAsia="Times New Roman" w:hAnsi="Times New Roman"/>
          <w:sz w:val="20"/>
          <w:szCs w:val="20"/>
          <w:color w:val="auto"/>
        </w:rPr>
        <w:t>Submission of this instrument for examination or signature by Tenant does not constitute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reservation of or an option for lease, and it is not effective as a lease or otherwise until execution and delivery by both Landlord and Tenant.</w:t>
      </w:r>
    </w:p>
    <w:p>
      <w:pPr>
        <w:spacing w:after="0" w:line="152"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29.31 </w:t>
      </w:r>
      <w:r>
        <w:rPr>
          <w:rFonts w:ascii="Times New Roman" w:cs="Times New Roman" w:eastAsia="Times New Roman" w:hAnsi="Times New Roman"/>
          <w:sz w:val="20"/>
          <w:szCs w:val="20"/>
          <w:b w:val="1"/>
          <w:bCs w:val="1"/>
          <w:u w:val="single" w:color="auto"/>
          <w:color w:val="auto"/>
        </w:rPr>
        <w:t>Building Name and Signage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Subject to Article 23</w:t>
      </w:r>
      <w:r>
        <w:rPr>
          <w:rFonts w:ascii="Times New Roman" w:cs="Times New Roman" w:eastAsia="Times New Roman" w:hAnsi="Times New Roman"/>
          <w:sz w:val="20"/>
          <w:szCs w:val="20"/>
          <w:color w:val="auto"/>
        </w:rPr>
        <w:t>, Landlord shall have the right at any time to change the 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Building and to install, affix and maintain any and all signs on the exterior and on the interior of the Building as Landlord may, in Landlord’s sole discretion, desire. Tenant shall not use the name of the Building or use pictures or illustrations of the Building in advertising or other publicity, without the prior written consent of Landlord.</w:t>
      </w:r>
    </w:p>
    <w:p>
      <w:pPr>
        <w:spacing w:after="0" w:line="176" w:lineRule="exact"/>
        <w:rPr>
          <w:sz w:val="20"/>
          <w:szCs w:val="20"/>
          <w:color w:val="auto"/>
        </w:rPr>
      </w:pPr>
    </w:p>
    <w:p>
      <w:pPr>
        <w:jc w:val="both"/>
        <w:ind w:firstLine="832"/>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29.32 </w:t>
      </w:r>
      <w:r>
        <w:rPr>
          <w:rFonts w:ascii="Times New Roman" w:cs="Times New Roman" w:eastAsia="Times New Roman" w:hAnsi="Times New Roman"/>
          <w:sz w:val="20"/>
          <w:szCs w:val="20"/>
          <w:b w:val="1"/>
          <w:bCs w:val="1"/>
          <w:u w:val="single" w:color="auto"/>
          <w:color w:val="auto"/>
        </w:rPr>
        <w:t>Transportation Management</w:t>
      </w:r>
      <w:r>
        <w:rPr>
          <w:rFonts w:ascii="Times New Roman" w:cs="Times New Roman" w:eastAsia="Times New Roman" w:hAnsi="Times New Roman"/>
          <w:sz w:val="20"/>
          <w:szCs w:val="20"/>
          <w:color w:val="auto"/>
        </w:rPr>
        <w:t>Tenant shall fully comply with all present or future programs intended to manage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parking, transportation or traffic in and around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76" w:lineRule="exact"/>
        <w:rPr>
          <w:sz w:val="20"/>
          <w:szCs w:val="20"/>
          <w:color w:val="auto"/>
        </w:rPr>
      </w:pPr>
    </w:p>
    <w:p>
      <w:pPr>
        <w:jc w:val="both"/>
        <w:ind w:right="20" w:firstLine="832"/>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29.33 </w:t>
      </w:r>
      <w:r>
        <w:rPr>
          <w:rFonts w:ascii="Times New Roman" w:cs="Times New Roman" w:eastAsia="Times New Roman" w:hAnsi="Times New Roman"/>
          <w:sz w:val="20"/>
          <w:szCs w:val="20"/>
          <w:b w:val="1"/>
          <w:bCs w:val="1"/>
          <w:u w:val="single" w:color="auto"/>
          <w:color w:val="auto"/>
        </w:rPr>
        <w:t>Lease Guaranty</w:t>
      </w:r>
      <w:r>
        <w:rPr>
          <w:rFonts w:ascii="Times New Roman" w:cs="Times New Roman" w:eastAsia="Times New Roman" w:hAnsi="Times New Roman"/>
          <w:sz w:val="20"/>
          <w:szCs w:val="20"/>
          <w:color w:val="auto"/>
        </w:rPr>
        <w:t>Concurrently with the execution of this Lease, Tenant shall deliver to Landlord a Lease Guaranty,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substantially in the form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attached hereto, executed by the Guarantor(s) listed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of the Summary, if 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51" w:name="page452"/>
    <w:bookmarkEnd w:id="451"/>
    <w:p>
      <w:pPr>
        <w:jc w:val="both"/>
        <w:ind w:firstLine="832"/>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29.34 </w:t>
      </w:r>
      <w:r>
        <w:rPr>
          <w:rFonts w:ascii="Times New Roman" w:cs="Times New Roman" w:eastAsia="Times New Roman" w:hAnsi="Times New Roman"/>
          <w:sz w:val="19"/>
          <w:szCs w:val="19"/>
          <w:b w:val="1"/>
          <w:bCs w:val="1"/>
          <w:u w:val="single" w:color="auto"/>
          <w:color w:val="auto"/>
        </w:rPr>
        <w:t>Confidentiality</w:t>
      </w:r>
      <w:r>
        <w:rPr>
          <w:rFonts w:ascii="Times New Roman" w:cs="Times New Roman" w:eastAsia="Times New Roman" w:hAnsi="Times New Roman"/>
          <w:sz w:val="19"/>
          <w:szCs w:val="19"/>
          <w:color w:val="auto"/>
        </w:rPr>
        <w:t>Except as otherwise required by law or legal process, Tenant and Landlord each acknowledge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content of this Lease and any related documents are confidential information. Tenant and Landlord shall each keep such confidential information strictly confidential and shall not disclose such confidential information to any person or entity other than Tenant’s or Landlord’s financial, legal, and space planning, insurance and other consultants, who have first agreed in writing to maintain such confidentiality.</w:t>
      </w:r>
    </w:p>
    <w:p>
      <w:pPr>
        <w:spacing w:after="0" w:line="158"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29.35 </w:t>
      </w:r>
      <w:r>
        <w:rPr>
          <w:rFonts w:ascii="Times New Roman" w:cs="Times New Roman" w:eastAsia="Times New Roman" w:hAnsi="Times New Roman"/>
          <w:sz w:val="20"/>
          <w:szCs w:val="20"/>
          <w:b w:val="1"/>
          <w:bCs w:val="1"/>
          <w:u w:val="single" w:color="auto"/>
          <w:color w:val="auto"/>
        </w:rPr>
        <w:t>No Discrimination</w:t>
      </w:r>
      <w:r>
        <w:rPr>
          <w:rFonts w:ascii="Times New Roman" w:cs="Times New Roman" w:eastAsia="Times New Roman" w:hAnsi="Times New Roman"/>
          <w:sz w:val="20"/>
          <w:szCs w:val="20"/>
          <w:color w:val="auto"/>
        </w:rPr>
        <w:t>Tenant covenants by and for itself, its heirs, executors, administrators and assigns, and all persons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claiming under or through Tenant, and this Lease is made and accepted upon and subject to the following conditions: that there shall be no discrimination against or segregation of any person or group of persons, on account of race, color, creed, sex, religion, marital status, ancestry or national origin in the leasing, subleasing, transferring, use, or enjoyment of the Premises, nor shall Tenant itself, or any person claiming under or through Tenant, establish or permit such practice or practices of discrimination or segregation with reference to the selection, location, number, use or occupancy, of tenants, lessees, sublessees, subtenants or vendees in the Premises.</w:t>
      </w:r>
    </w:p>
    <w:p>
      <w:pPr>
        <w:spacing w:after="0" w:line="179" w:lineRule="exact"/>
        <w:rPr>
          <w:sz w:val="20"/>
          <w:szCs w:val="20"/>
          <w:color w:val="auto"/>
        </w:rPr>
      </w:pPr>
    </w:p>
    <w:p>
      <w:pPr>
        <w:ind w:left="840"/>
        <w:spacing w:after="0"/>
        <w:tabs>
          <w:tab w:leader="none" w:pos="1980" w:val="left"/>
        </w:tabs>
        <w:rPr>
          <w:sz w:val="20"/>
          <w:szCs w:val="20"/>
          <w:color w:val="auto"/>
        </w:rPr>
      </w:pPr>
      <w:r>
        <w:rPr>
          <w:rFonts w:ascii="Times New Roman" w:cs="Times New Roman" w:eastAsia="Times New Roman" w:hAnsi="Times New Roman"/>
          <w:sz w:val="20"/>
          <w:szCs w:val="20"/>
          <w:b w:val="1"/>
          <w:bCs w:val="1"/>
          <w:color w:val="auto"/>
        </w:rPr>
        <w:t>29.36</w:t>
      </w:r>
      <w:r>
        <w:rPr>
          <w:sz w:val="20"/>
          <w:szCs w:val="20"/>
          <w:color w:val="auto"/>
        </w:rPr>
        <w:tab/>
      </w:r>
      <w:r>
        <w:rPr>
          <w:rFonts w:ascii="Times New Roman" w:cs="Times New Roman" w:eastAsia="Times New Roman" w:hAnsi="Times New Roman"/>
          <w:sz w:val="20"/>
          <w:szCs w:val="20"/>
          <w:b w:val="1"/>
          <w:bCs w:val="1"/>
          <w:u w:val="single" w:color="auto"/>
          <w:color w:val="auto"/>
        </w:rPr>
        <w:t>OFAC.</w:t>
      </w:r>
    </w:p>
    <w:p>
      <w:pPr>
        <w:spacing w:after="0" w:line="216" w:lineRule="exact"/>
        <w:rPr>
          <w:sz w:val="20"/>
          <w:szCs w:val="20"/>
          <w:color w:val="auto"/>
        </w:rPr>
      </w:pPr>
    </w:p>
    <w:p>
      <w:pPr>
        <w:jc w:val="both"/>
        <w:ind w:firstLine="1663"/>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29.36.1. </w:t>
      </w:r>
      <w:r>
        <w:rPr>
          <w:rFonts w:ascii="Times New Roman" w:cs="Times New Roman" w:eastAsia="Times New Roman" w:hAnsi="Times New Roman"/>
          <w:sz w:val="19"/>
          <w:szCs w:val="19"/>
          <w:color w:val="auto"/>
        </w:rPr>
        <w:t>Landlord and Tenant each represent and warrant that (a) they and each person or entity owning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interest in them is (i) not currently identified on the Specially Designated Nationals and blocked Persons Listed maintained by the Office of Foreign Assets Control, Department of the Treasury (“</w:t>
      </w:r>
      <w:r>
        <w:rPr>
          <w:rFonts w:ascii="Times New Roman" w:cs="Times New Roman" w:eastAsia="Times New Roman" w:hAnsi="Times New Roman"/>
          <w:sz w:val="19"/>
          <w:szCs w:val="19"/>
          <w:b w:val="1"/>
          <w:bCs w:val="1"/>
          <w:color w:val="auto"/>
        </w:rPr>
        <w:t>OFAC</w:t>
      </w:r>
      <w:r>
        <w:rPr>
          <w:rFonts w:ascii="Times New Roman" w:cs="Times New Roman" w:eastAsia="Times New Roman" w:hAnsi="Times New Roman"/>
          <w:sz w:val="19"/>
          <w:szCs w:val="19"/>
          <w:color w:val="auto"/>
        </w:rPr>
        <w:t>”) and/or on any other similar list maintained by OFAC pursuant to any authorizing statute, executive order or regulation (collectively, the “</w:t>
      </w:r>
      <w:r>
        <w:rPr>
          <w:rFonts w:ascii="Times New Roman" w:cs="Times New Roman" w:eastAsia="Times New Roman" w:hAnsi="Times New Roman"/>
          <w:sz w:val="19"/>
          <w:szCs w:val="19"/>
          <w:b w:val="1"/>
          <w:bCs w:val="1"/>
          <w:color w:val="auto"/>
        </w:rPr>
        <w:t>List</w:t>
      </w:r>
      <w:r>
        <w:rPr>
          <w:rFonts w:ascii="Times New Roman" w:cs="Times New Roman" w:eastAsia="Times New Roman" w:hAnsi="Times New Roman"/>
          <w:sz w:val="19"/>
          <w:szCs w:val="19"/>
          <w:color w:val="auto"/>
        </w:rPr>
        <w:t>”), and (ii) not a person or entity with whom a citizen of the United States is prohibited to engage in transactions by any trade embargo, economic sanction, or other prohibition of United States law, regulation, or Executive Order of the President of the United States, (b) none of the funds or other assets of Landlord or Tenant constitute property of, or are beneficially owned, directly or indirectly, by any Embargoed Person (as hereinafter defined), (c) no Embargoed Person has any interest of any nature whatsoever in Landlord or Tenant (whether directly or indirectly), (d) none of the funds of Landlord or Tenant have been derived from any unlawful activity with the result that the investment in Landlord or Tenant is prohibited by law or that this Lease is in violation of law, and (e) Landlord and Tenant have each implemented procedures, and will consistently apply those procedures, to ensure the foregoing representations and warranties remain true and correct at all times. The term “</w:t>
      </w:r>
      <w:r>
        <w:rPr>
          <w:rFonts w:ascii="Times New Roman" w:cs="Times New Roman" w:eastAsia="Times New Roman" w:hAnsi="Times New Roman"/>
          <w:sz w:val="19"/>
          <w:szCs w:val="19"/>
          <w:b w:val="1"/>
          <w:bCs w:val="1"/>
          <w:color w:val="auto"/>
        </w:rPr>
        <w:t>Embargoed Person</w:t>
      </w:r>
      <w:r>
        <w:rPr>
          <w:rFonts w:ascii="Times New Roman" w:cs="Times New Roman" w:eastAsia="Times New Roman" w:hAnsi="Times New Roman"/>
          <w:sz w:val="19"/>
          <w:szCs w:val="19"/>
          <w:color w:val="auto"/>
        </w:rPr>
        <w:t xml:space="preserve">” means any person, entity or government subject to trade restrictions under U.S. law, including but not limited to, the International Emergency Economic Powers Act, 50 U.S.C.A. § 1701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The Trading with the Enemy Act, 50 U.S.C. App. 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and any Executive Orders or regulations promulgated thereunder with the result that the investment in Landlord or Tenant is prohibited by law or Landlord or Tenant is in violation of law.</w:t>
      </w:r>
    </w:p>
    <w:p>
      <w:pPr>
        <w:spacing w:after="0" w:line="179"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29.36.2. </w:t>
      </w:r>
      <w:r>
        <w:rPr>
          <w:rFonts w:ascii="Times New Roman" w:cs="Times New Roman" w:eastAsia="Times New Roman" w:hAnsi="Times New Roman"/>
          <w:sz w:val="20"/>
          <w:szCs w:val="20"/>
          <w:color w:val="auto"/>
        </w:rPr>
        <w:t>Landlord and Tenant each covenant and agree (a) to comply with all requirements of law relating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money laundering, anti-terrorism, trade embargos economic sanctions, now or hereafter in effect, (b) to immediately notify the other party in writing if any of the representations, warranties or covenants set forth in this Section are no longer true or have been breached or if Landlord or Tenant has a reasonable basis to believe that they may no longer be true or have been breached, (c) not to use funds from any “Prohibited Person” (as such term is defined in the September 24, 2001 Executive Order Blocking Property and Prohibiting Transactions With Persons Who Commit, Threaten to Commit, or Support Terrorism) to make any payment due to Landlord or Tenant under this Lease and (d) at the request of Landlord or Tenant, to provide such information as may be requested by Landlord or Tenant to determine Landlord’s or Tenant’s compliance with the terms hereof.</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52" w:name="page453"/>
    <w:bookmarkEnd w:id="452"/>
    <w:p>
      <w:pPr>
        <w:jc w:val="both"/>
        <w:ind w:firstLine="1663"/>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29.36.3. </w:t>
      </w:r>
      <w:r>
        <w:rPr>
          <w:rFonts w:ascii="Times New Roman" w:cs="Times New Roman" w:eastAsia="Times New Roman" w:hAnsi="Times New Roman"/>
          <w:sz w:val="20"/>
          <w:szCs w:val="20"/>
          <w:color w:val="auto"/>
        </w:rPr>
        <w:t>Landlord and Tenant each hereby acknowledge and agree that Landlord’s or Tenant’s inclusion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List at any time prior to the expiration or earlier termination of this Lease shall be a material default of this Lease, and this Lease shall automatically terminate. Notwithstanding anything to the contrary, Tenant shall not permit the Premises or any portion thereof to be used or occupied by any person or entity on the List or by any Embargoed Person (on a permanent, temporary or transient basis), and any such use or occupancy of the Premises by any such person or entity shall be a material default of this Lease.</w:t>
      </w:r>
    </w:p>
    <w:p>
      <w:pPr>
        <w:spacing w:after="0" w:line="180" w:lineRule="exact"/>
        <w:rPr>
          <w:sz w:val="20"/>
          <w:szCs w:val="20"/>
          <w:color w:val="auto"/>
        </w:rPr>
      </w:pPr>
    </w:p>
    <w:p>
      <w:pPr>
        <w:ind w:left="84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29.37</w:t>
      </w:r>
      <w:r>
        <w:rPr>
          <w:sz w:val="20"/>
          <w:szCs w:val="20"/>
          <w:color w:val="auto"/>
        </w:rPr>
        <w:tab/>
      </w:r>
      <w:r>
        <w:rPr>
          <w:rFonts w:ascii="Times New Roman" w:cs="Times New Roman" w:eastAsia="Times New Roman" w:hAnsi="Times New Roman"/>
          <w:sz w:val="20"/>
          <w:szCs w:val="20"/>
          <w:b w:val="1"/>
          <w:bCs w:val="1"/>
          <w:u w:val="single" w:color="auto"/>
          <w:color w:val="auto"/>
        </w:rPr>
        <w:t>Intentionally deleted.</w:t>
      </w:r>
    </w:p>
    <w:p>
      <w:pPr>
        <w:spacing w:after="0" w:line="216" w:lineRule="exact"/>
        <w:rPr>
          <w:sz w:val="20"/>
          <w:szCs w:val="20"/>
          <w:color w:val="auto"/>
        </w:rPr>
      </w:pPr>
    </w:p>
    <w:p>
      <w:pPr>
        <w:ind w:left="84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29.38</w:t>
      </w:r>
      <w:r>
        <w:rPr>
          <w:sz w:val="20"/>
          <w:szCs w:val="20"/>
          <w:color w:val="auto"/>
        </w:rPr>
        <w:tab/>
      </w:r>
      <w:r>
        <w:rPr>
          <w:rFonts w:ascii="Times New Roman" w:cs="Times New Roman" w:eastAsia="Times New Roman" w:hAnsi="Times New Roman"/>
          <w:sz w:val="20"/>
          <w:szCs w:val="20"/>
          <w:b w:val="1"/>
          <w:bCs w:val="1"/>
          <w:u w:val="single" w:color="auto"/>
          <w:color w:val="auto"/>
        </w:rPr>
        <w:t>Communications and Computer Lines; Generator.</w:t>
      </w:r>
    </w:p>
    <w:p>
      <w:pPr>
        <w:spacing w:after="0" w:line="220" w:lineRule="exact"/>
        <w:rPr>
          <w:sz w:val="20"/>
          <w:szCs w:val="20"/>
          <w:color w:val="auto"/>
        </w:rPr>
      </w:pPr>
    </w:p>
    <w:p>
      <w:pPr>
        <w:jc w:val="both"/>
        <w:ind w:firstLine="1671"/>
        <w:spacing w:after="0" w:line="241" w:lineRule="auto"/>
        <w:tabs>
          <w:tab w:leader="none" w:pos="2531"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may install, maintain, replace, remove or use any communications or computer wires and cables (collectively, the “</w:t>
      </w:r>
      <w:r>
        <w:rPr>
          <w:rFonts w:ascii="Times New Roman" w:cs="Times New Roman" w:eastAsia="Times New Roman" w:hAnsi="Times New Roman"/>
          <w:sz w:val="20"/>
          <w:szCs w:val="20"/>
          <w:b w:val="1"/>
          <w:bCs w:val="1"/>
          <w:color w:val="auto"/>
        </w:rPr>
        <w:t>Lines</w:t>
      </w:r>
      <w:r>
        <w:rPr>
          <w:rFonts w:ascii="Times New Roman" w:cs="Times New Roman" w:eastAsia="Times New Roman" w:hAnsi="Times New Roman"/>
          <w:sz w:val="20"/>
          <w:szCs w:val="20"/>
          <w:color w:val="auto"/>
        </w:rPr>
        <w:t xml:space="preserve">”) at the Project in or serving the Premises, provided that (i) Tenant shall obtain Landlord’s prior written consent, use an experienced and qualified contractor reasonably approved by Landlord), and comply with all of the other provisions of </w:t>
      </w:r>
      <w:r>
        <w:rPr>
          <w:rFonts w:ascii="Times New Roman" w:cs="Times New Roman" w:eastAsia="Times New Roman" w:hAnsi="Times New Roman"/>
          <w:sz w:val="20"/>
          <w:szCs w:val="20"/>
          <w:u w:val="single" w:color="auto"/>
          <w:color w:val="auto"/>
        </w:rPr>
        <w:t>Articles 7</w:t>
      </w:r>
      <w:r>
        <w:rPr>
          <w:rFonts w:ascii="Times New Roman" w:cs="Times New Roman" w:eastAsia="Times New Roman" w:hAnsi="Times New Roman"/>
          <w:sz w:val="20"/>
          <w:szCs w:val="20"/>
          <w:color w:val="auto"/>
        </w:rPr>
        <w:t xml:space="preserve"> and 8 of this Lease, (ii) an acceptable number of spare Lines and space for additional Lines shall be maintained for existing and future occupants of the Project, as determined in Landlord’s reasonable opinion, (iii) the Lines therefor (including riser cables) shall be (x) appropriately insulated to prevent excessive electromagnetic fields or radiation, (y) surrounded by a protective conduit reasonably acceptable to Landlord, and (z) identified in accordance with the “Identification Requirements,” as that term is set forth hereinbelow, (iv) any new or existing Lines servicing the Premises shall comply with all applicable governmental laws and regulations, (v) as a condition to permitting the installation of new Lines, Tenant shall remove existing Lines located in or serving the Premises and repair any damage in connection with such removal, and (vi) Tenant shall pay all costs in connection therewith. All Lines shall be clearly marked with adhesive plastic labels (or plastic tags attached to such Lines with wire) to show Tenant’s name, suite 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Times New Roman" w:cs="Times New Roman" w:eastAsia="Times New Roman" w:hAnsi="Times New Roman"/>
          <w:sz w:val="20"/>
          <w:szCs w:val="20"/>
          <w:b w:val="1"/>
          <w:bCs w:val="1"/>
          <w:color w:val="auto"/>
        </w:rPr>
        <w:t>Identification Requirements</w:t>
      </w:r>
      <w:r>
        <w:rPr>
          <w:rFonts w:ascii="Times New Roman" w:cs="Times New Roman" w:eastAsia="Times New Roman" w:hAnsi="Times New Roman"/>
          <w:sz w:val="20"/>
          <w:szCs w:val="20"/>
          <w:color w:val="auto"/>
        </w:rPr>
        <w:t>”). Upon the expiration of the Lease Term, or immediately following any earlier termination of this Lease, Tenant shall, at Tenant’s sole cost and expense, remove all Lines installed by Tenant, and repair any damage caused by such removal. In the event that Tenant fails to complete such removal and/or fails to repair any damage caused by the removal of any Lines, Landlord may do so and may charge the cost thereof to Tenant. Landlord reserves the right to require that Tenant remove any Lines located in or serving the Premises which are installed in violation of these provisions, or which are at any time (1) are in violation of any Applicable Requirements, (2) are inconsistent with then-existing industry standards (such as the standards promulgated by the National Fire Protection Association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such organization’s “2002 National Electrical Code”)), or (3) otherwise represent a dangerous or potentially dangerous condition.</w:t>
      </w:r>
    </w:p>
    <w:p>
      <w:pPr>
        <w:spacing w:after="0" w:line="187" w:lineRule="exact"/>
        <w:rPr>
          <w:rFonts w:ascii="Times New Roman" w:cs="Times New Roman" w:eastAsia="Times New Roman" w:hAnsi="Times New Roman"/>
          <w:sz w:val="20"/>
          <w:szCs w:val="20"/>
          <w:color w:val="auto"/>
        </w:rPr>
      </w:pPr>
    </w:p>
    <w:p>
      <w:pPr>
        <w:jc w:val="both"/>
        <w:ind w:firstLine="1671"/>
        <w:spacing w:after="0" w:line="260" w:lineRule="auto"/>
        <w:tabs>
          <w:tab w:leader="none" w:pos="2542" w:val="left"/>
        </w:tabs>
        <w:numPr>
          <w:ilvl w:val="1"/>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at its sole cost and expense, shall have a non-exclusive right to install an emergency power generator (the “Generator”) and an associated uninterrupted power supply switching facility (the “</w:t>
      </w:r>
      <w:r>
        <w:rPr>
          <w:rFonts w:ascii="Times New Roman" w:cs="Times New Roman" w:eastAsia="Times New Roman" w:hAnsi="Times New Roman"/>
          <w:sz w:val="19"/>
          <w:szCs w:val="19"/>
          <w:u w:val="single" w:color="auto"/>
          <w:color w:val="auto"/>
        </w:rPr>
        <w:t>UPS</w:t>
      </w:r>
      <w:r>
        <w:rPr>
          <w:rFonts w:ascii="Times New Roman" w:cs="Times New Roman" w:eastAsia="Times New Roman" w:hAnsi="Times New Roman"/>
          <w:sz w:val="19"/>
          <w:szCs w:val="19"/>
          <w:color w:val="auto"/>
        </w:rPr>
        <w:t>”) at a mutually acceptable location in the loading dock of the Building. Prior to installation, in addition to the location, Landlord must approve: (1) the Generator and UPS equipment,</w:t>
      </w:r>
    </w:p>
    <w:p>
      <w:pPr>
        <w:jc w:val="both"/>
        <w:ind w:firstLine="8"/>
        <w:spacing w:after="0"/>
        <w:tabs>
          <w:tab w:leader="none" w:pos="281"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drawings submitted by Tenant showing the Generator and UPS to be installed, method of installation, connectors to electrical services and conduit to the Premises, and (3) the contractor selected by Tenant to install the Generator and UPS. Landlord will not unreasonably withhold, condition, or delay its approvals. Tenant shall screen the Generator as required by Landlord, and applicable governmental statutes and codes. Tenant shall obtain all permits and approvals required by any governmental entities to install, operate or maintain the Generator and UPS. At its sole cost and expense, Tenant shall maintain the Generator and UPS and comply with all laws, rules, regulations, ordinances and standards of all governmental authorities having jurisdiction over the Building. Tenant shall pay for all utilities used or consumed in connection with the Generator and UPS and all personal property taxes, if any, attributable to the Generator and UPS. Any Generator and UPS so installed shall be installed and used at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53" w:name="page454"/>
    <w:bookmarkEnd w:id="453"/>
    <w:p>
      <w:pPr>
        <w:jc w:val="both"/>
        <w:spacing w:after="0" w:line="245" w:lineRule="auto"/>
        <w:rPr>
          <w:sz w:val="20"/>
          <w:szCs w:val="20"/>
          <w:color w:val="auto"/>
        </w:rPr>
      </w:pPr>
      <w:r>
        <w:rPr>
          <w:rFonts w:ascii="Times New Roman" w:cs="Times New Roman" w:eastAsia="Times New Roman" w:hAnsi="Times New Roman"/>
          <w:sz w:val="20"/>
          <w:szCs w:val="20"/>
          <w:color w:val="auto"/>
        </w:rPr>
        <w:t>Tenant’s sole risk. Tenant shall remove the Generator prior to the expiration of this Lease, or within fifteen (15) business days after the earlier termination of this Lease, as the case may be, and shall restore the pad area to the condition it was in immediately prior to the installation of the Generator. Tenant shall provide Landlord with certificates evidencing that the liability and property damage insurance coverages required to be carried by Tenant under the terms of this Lease include the Generator and Tenant’s operation thereof. The Tenant shall repair any damage to the Premises, the Building, and/or the Project which occurs in the operation, maintenance, repair or removal of the Generator and/or screening.</w:t>
      </w:r>
    </w:p>
    <w:p>
      <w:pPr>
        <w:spacing w:after="0" w:line="180" w:lineRule="exact"/>
        <w:rPr>
          <w:sz w:val="20"/>
          <w:szCs w:val="20"/>
          <w:color w:val="auto"/>
        </w:rPr>
      </w:pPr>
    </w:p>
    <w:p>
      <w:pPr>
        <w:jc w:val="both"/>
        <w:ind w:firstLine="832"/>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29.39 </w:t>
      </w:r>
      <w:r>
        <w:rPr>
          <w:rFonts w:ascii="Times New Roman" w:cs="Times New Roman" w:eastAsia="Times New Roman" w:hAnsi="Times New Roman"/>
          <w:sz w:val="20"/>
          <w:szCs w:val="20"/>
          <w:b w:val="1"/>
          <w:bCs w:val="1"/>
          <w:u w:val="single" w:color="auto"/>
          <w:color w:val="auto"/>
        </w:rPr>
        <w:t>Green Cleaning/Recycling</w:t>
      </w:r>
      <w:r>
        <w:rPr>
          <w:rFonts w:ascii="Times New Roman" w:cs="Times New Roman" w:eastAsia="Times New Roman" w:hAnsi="Times New Roman"/>
          <w:sz w:val="20"/>
          <w:szCs w:val="20"/>
          <w:color w:val="auto"/>
        </w:rPr>
        <w:t>To the extent a “green cleaning program” and/or a recycling program is implemented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in the Building and/or Project (each in Landlord’s sole and absolute discretion), Tenant shall, at Tenant’s sole cost and expense, comply with the provisions of each of the foregoing programs (e.g., Tenant shall separate waste appropriately so that it can be efficiently processed by Landlord’s particular recycling contractors). To the extent Tenant fails to comply with any of Landlord’s recycling programs contemplated by the foregoing, Tenant shall be required to pay any contamination charges related to such non-compliance.</w:t>
      </w:r>
    </w:p>
    <w:p>
      <w:pPr>
        <w:spacing w:after="0" w:line="180" w:lineRule="exact"/>
        <w:rPr>
          <w:sz w:val="20"/>
          <w:szCs w:val="20"/>
          <w:color w:val="auto"/>
        </w:rPr>
      </w:pPr>
    </w:p>
    <w:p>
      <w:pPr>
        <w:ind w:left="8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29.40</w:t>
      </w:r>
      <w:r>
        <w:rPr>
          <w:sz w:val="20"/>
          <w:szCs w:val="20"/>
          <w:color w:val="auto"/>
        </w:rPr>
        <w:tab/>
      </w:r>
      <w:r>
        <w:rPr>
          <w:rFonts w:ascii="Times New Roman" w:cs="Times New Roman" w:eastAsia="Times New Roman" w:hAnsi="Times New Roman"/>
          <w:sz w:val="19"/>
          <w:szCs w:val="19"/>
          <w:b w:val="1"/>
          <w:bCs w:val="1"/>
          <w:u w:val="single" w:color="auto"/>
          <w:color w:val="auto"/>
        </w:rPr>
        <w:t>Dispute Resolution Procedure.</w:t>
      </w:r>
    </w:p>
    <w:p>
      <w:pPr>
        <w:spacing w:after="0" w:line="220" w:lineRule="exact"/>
        <w:rPr>
          <w:sz w:val="20"/>
          <w:szCs w:val="20"/>
          <w:color w:val="auto"/>
        </w:rPr>
      </w:pPr>
    </w:p>
    <w:p>
      <w:pPr>
        <w:jc w:val="both"/>
        <w:ind w:firstLine="1671"/>
        <w:spacing w:after="0" w:line="245" w:lineRule="auto"/>
        <w:tabs>
          <w:tab w:leader="none" w:pos="2523"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subsection (b) below, the parties agree to resolve any and all claims, disputes and disagreements arising under this Lease, including, without limitation, any matter relating to Landlord’s failure to approve an assignment, sublease or other transfer of Tenant’s interest in this Lease under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of this Lease, any other defaults by Landlord, or any defaults by Tenant by and through arbitration and irrevocably waive any and all rights to the contrary. The parties agree to at all times conduct themselves in strict, full, complete and timely accordance with the terms hereof and that any attempt to circumvent the terms of this Section shall be absolutely null and void and of no force or effect whatsoever.</w:t>
      </w:r>
    </w:p>
    <w:p>
      <w:pPr>
        <w:spacing w:after="0" w:line="184" w:lineRule="exact"/>
        <w:rPr>
          <w:rFonts w:ascii="Times New Roman" w:cs="Times New Roman" w:eastAsia="Times New Roman" w:hAnsi="Times New Roman"/>
          <w:sz w:val="20"/>
          <w:szCs w:val="20"/>
          <w:color w:val="auto"/>
        </w:rPr>
      </w:pPr>
    </w:p>
    <w:p>
      <w:pPr>
        <w:jc w:val="both"/>
        <w:ind w:firstLine="1671"/>
        <w:spacing w:after="0" w:line="243" w:lineRule="auto"/>
        <w:tabs>
          <w:tab w:leader="none" w:pos="2542"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disputes, claims and disagreements under this Lease are expressly excluded from the arbitration procedures set forth in this Section: (i) Disputes for which a different resolution determination is specifically provided for in this Lease; (ii) All claims by either party which (A) seek anything other than application, interpretation, enforcement or determination of rights under this Lease or (B) are primarily founded upon matters of fraud, willful misconduct, bad faith or any other allegations of tortious actions, and seek the award of punitive or exemplary damages; and (iii) claims relating to (A) Landlord’s exercise of any unlawful detainer rights pursuant to applicable law or (B) rights or remedies used by Landlord to gain possession of the Premises or terminate the Tenant’s right of possession of the Premises, all of which excluded disputes shall be resolved by suit filed in the applicable court of jurisdiction, the decision of which court shall be subject to appeal pursuant to applicable law.</w:t>
      </w:r>
    </w:p>
    <w:p>
      <w:pPr>
        <w:spacing w:after="0" w:line="189" w:lineRule="exact"/>
        <w:rPr>
          <w:rFonts w:ascii="Times New Roman" w:cs="Times New Roman" w:eastAsia="Times New Roman" w:hAnsi="Times New Roman"/>
          <w:sz w:val="20"/>
          <w:szCs w:val="20"/>
          <w:color w:val="auto"/>
        </w:rPr>
      </w:pPr>
    </w:p>
    <w:p>
      <w:pPr>
        <w:jc w:val="both"/>
        <w:ind w:firstLine="1671"/>
        <w:spacing w:after="0" w:line="249" w:lineRule="auto"/>
        <w:tabs>
          <w:tab w:leader="none" w:pos="2531"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subject to this Section shall be submitted to and settled by binding arbitration in the County in which the Property is located, pursuant to the Commercial Arbitration Rules of the American Arbitration Association (“</w:t>
      </w:r>
      <w:r>
        <w:rPr>
          <w:rFonts w:ascii="Times New Roman" w:cs="Times New Roman" w:eastAsia="Times New Roman" w:hAnsi="Times New Roman"/>
          <w:sz w:val="20"/>
          <w:szCs w:val="20"/>
          <w:b w:val="1"/>
          <w:bCs w:val="1"/>
          <w:color w:val="auto"/>
        </w:rPr>
        <w:t>AAA</w:t>
      </w:r>
      <w:r>
        <w:rPr>
          <w:rFonts w:ascii="Times New Roman" w:cs="Times New Roman" w:eastAsia="Times New Roman" w:hAnsi="Times New Roman"/>
          <w:sz w:val="20"/>
          <w:szCs w:val="20"/>
          <w:color w:val="auto"/>
        </w:rPr>
        <w:t>”) then in effect (or at any other place or under any other form of arbitration mutually acceptable to the parties). Notwithstanding the foregoing, the parties hereto agree that any such arbitration shall be governed by the following requirements:</w:t>
      </w:r>
    </w:p>
    <w:p>
      <w:pPr>
        <w:spacing w:after="0" w:line="179" w:lineRule="exact"/>
        <w:rPr>
          <w:rFonts w:ascii="Times New Roman" w:cs="Times New Roman" w:eastAsia="Times New Roman" w:hAnsi="Times New Roman"/>
          <w:sz w:val="20"/>
          <w:szCs w:val="20"/>
          <w:color w:val="auto"/>
        </w:rPr>
      </w:pPr>
    </w:p>
    <w:p>
      <w:pPr>
        <w:jc w:val="both"/>
        <w:ind w:firstLine="2504"/>
        <w:spacing w:after="0" w:line="249" w:lineRule="auto"/>
        <w:tabs>
          <w:tab w:leader="none" w:pos="3330"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single neutral arbitrator mutually selected by the parties shall conduct the arbitration proceedings. If the parties are unable to agree upon a single neutral arbitrator within fifteen (15) days from the date of any notice of demand for arbitration, the parties shall each select a neutral arbitrator within ten days from their receipt of a list of 7 arbitrators from AAA. The neutral arbitrator (“</w:t>
      </w:r>
      <w:r>
        <w:rPr>
          <w:rFonts w:ascii="Times New Roman" w:cs="Times New Roman" w:eastAsia="Times New Roman" w:hAnsi="Times New Roman"/>
          <w:sz w:val="20"/>
          <w:szCs w:val="20"/>
          <w:b w:val="1"/>
          <w:bCs w:val="1"/>
          <w:color w:val="auto"/>
        </w:rPr>
        <w:t>Arbitrator</w:t>
      </w:r>
      <w:r>
        <w:rPr>
          <w:rFonts w:ascii="Times New Roman" w:cs="Times New Roman" w:eastAsia="Times New Roman" w:hAnsi="Times New Roman"/>
          <w:sz w:val="20"/>
          <w:szCs w:val="20"/>
          <w:color w:val="auto"/>
        </w:rPr>
        <w:t>”) so selected shall conduct the arbitration proceeding and render the arbitration decision.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4" w:name="page455"/>
    <w:bookmarkEnd w:id="454"/>
    <w:p>
      <w:pPr>
        <w:ind w:left="3400" w:hanging="896"/>
        <w:spacing w:after="0"/>
        <w:tabs>
          <w:tab w:leader="none" w:pos="3400"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arbitration decision shall be in writing, with the bases of such decision specified in reasonable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detail.</w:t>
      </w:r>
    </w:p>
    <w:p>
      <w:pPr>
        <w:spacing w:after="0" w:line="194" w:lineRule="exact"/>
        <w:rPr>
          <w:sz w:val="20"/>
          <w:szCs w:val="20"/>
          <w:color w:val="auto"/>
        </w:rPr>
      </w:pPr>
    </w:p>
    <w:p>
      <w:pPr>
        <w:jc w:val="both"/>
        <w:ind w:right="20" w:firstLine="2504"/>
        <w:spacing w:after="0" w:line="246" w:lineRule="auto"/>
        <w:tabs>
          <w:tab w:leader="none" w:pos="3440"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submit to the other party, not less than five (5) business days (or such longer period as the Arbitrator may specify) prior to the commencement of the arbitration hearing, (i) a list of the persons whose testimony the other party intends to elicit at the arbitration hearing, (ii) copies of any and all documents to be offered into evidence, and (iii) a description in reasonable detail of any other evidence such party intends to offer into evidence. The foregoing shall not limit the parties’ rights to such other discovery as may be permitted pursuant to the rules of the arbitrating entity.</w:t>
      </w:r>
    </w:p>
    <w:p>
      <w:pPr>
        <w:spacing w:after="0" w:line="18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Any award rendered shall be final and conclusive upon the parties and a judgment thereon may be entered in the highest court of the state forum having jurisdiction over the subject matter of such arbitration. The expenses of the arbitration shall be borne equally by the parties to the arbitration, provided that each party shall pay for and bear the cost of its own experts, evidence and attorneys’ fees; and provided, further, that the Arbitrator may award all or any portion of the costs and/or attorneys’ fees of either party to be borne by the other party where the Arbitrator finds that such other party’s claim or defense was manifestly unreasonably maintained.</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9"/>
          <w:szCs w:val="19"/>
          <w:b w:val="1"/>
          <w:bCs w:val="1"/>
          <w:color w:val="auto"/>
        </w:rPr>
        <w:t>NOTICE: BY INITIALING IN THE SPACE BELOW YOU ARE AGREEING TO HAVE ANY DISPUTE ARISING OUT OF THE MATTERS INCLUDED IN THE “ARBITRATION OF DISPUTES” PROVISION DECIDED BY NEUTRAL ARBITRATION AS PROVIDED BY WASHINGTON LAW AND YOU ARE GIVING UP ANY RIGHTS YOU MIGHT POSSESS TO HAVE THE DISPUTE LITIGATED IN A COURT OR JURY TRIAL. BY INITIALING IN THE SPACE BELOW YOU ARE GIVING UP YOUR JUDICIAL RIGHTS TO DISCOVERY AND APPEAL, UNLESS SUCH RIGHTS ARE SPECIFICALLY INCLUDED IN THE “ARBITRATION OF DISPUTES” PROVISION. IF YOU REFUSE TO SUBMIT TO ARBITRATION AFTER AGREEING TO THIS PROVISION, YOU MAY BE COMPELLED TO ARBITRATE UNDER THE AUTHORITY OF THE WASHINGTON CODE OF CIVIL PROCEDURE. YOUR AGREEMENT TO THIS ARBITRATION PROVISION IS VOLUNTARY.</w:t>
      </w:r>
    </w:p>
    <w:p>
      <w:pPr>
        <w:spacing w:after="0" w:line="173"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WE HAVE READ AND UNDERSTAND THE FOREGOING AND AGREE TO SUBMIT DISPUTES ARISING OUT OF THE MATTERS INCLUDED IN THE “ARBITRATION OF DISPUTES” PROVISION TO NEUTRAL ARBITRATION.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/s/ S.M.Z.</w:t>
            </w:r>
          </w:p>
        </w:tc>
        <w:tc>
          <w:tcPr>
            <w:tcW w:w="700" w:type="dxa"/>
            <w:vAlign w:val="bottom"/>
          </w:tcPr>
          <w:p>
            <w:pPr>
              <w:spacing w:after="0"/>
              <w:rPr>
                <w:sz w:val="22"/>
                <w:szCs w:val="22"/>
                <w:color w:val="auto"/>
              </w:rPr>
            </w:pPr>
          </w:p>
        </w:tc>
        <w:tc>
          <w:tcPr>
            <w:tcW w:w="3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/s/ Leen Kawas</w:t>
            </w:r>
          </w:p>
        </w:tc>
        <w:tc>
          <w:tcPr>
            <w:tcW w:w="3400" w:type="dxa"/>
            <w:vAlign w:val="bottom"/>
          </w:tcPr>
          <w:p>
            <w:pPr>
              <w:spacing w:after="0"/>
              <w:rPr>
                <w:sz w:val="22"/>
                <w:szCs w:val="22"/>
                <w:color w:val="auto"/>
              </w:rPr>
            </w:pPr>
          </w:p>
        </w:tc>
      </w:tr>
      <w:tr>
        <w:trPr>
          <w:trHeight w:val="258"/>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Landlord’s Initials</w:t>
            </w:r>
          </w:p>
        </w:tc>
        <w:tc>
          <w:tcPr>
            <w:tcW w:w="700" w:type="dxa"/>
            <w:vAlign w:val="bottom"/>
          </w:tcPr>
          <w:p>
            <w:pPr>
              <w:spacing w:after="0"/>
              <w:rPr>
                <w:sz w:val="22"/>
                <w:szCs w:val="22"/>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Tenant’s Initials</w:t>
            </w:r>
          </w:p>
        </w:tc>
        <w:tc>
          <w:tcPr>
            <w:tcW w:w="3400" w:type="dxa"/>
            <w:vAlign w:val="bottom"/>
          </w:tcPr>
          <w:p>
            <w:pPr>
              <w:spacing w:after="0"/>
              <w:rPr>
                <w:sz w:val="22"/>
                <w:szCs w:val="22"/>
                <w:color w:val="auto"/>
              </w:rPr>
            </w:pPr>
          </w:p>
        </w:tc>
      </w:tr>
      <w:tr>
        <w:trPr>
          <w:trHeight w:val="787"/>
        </w:trPr>
        <w:tc>
          <w:tcPr>
            <w:tcW w:w="3620" w:type="dxa"/>
            <w:vAlign w:val="bottom"/>
          </w:tcPr>
          <w:p>
            <w:pPr>
              <w:spacing w:after="0"/>
              <w:rPr>
                <w:sz w:val="24"/>
                <w:szCs w:val="24"/>
                <w:color w:val="auto"/>
              </w:rPr>
            </w:pPr>
          </w:p>
        </w:tc>
        <w:tc>
          <w:tcPr>
            <w:tcW w:w="4240" w:type="dxa"/>
            <w:vAlign w:val="bottom"/>
            <w:gridSpan w:val="2"/>
          </w:tcPr>
          <w:p>
            <w:pPr>
              <w:jc w:val="center"/>
              <w:ind w:right="121"/>
              <w:spacing w:after="0"/>
              <w:rPr>
                <w:sz w:val="20"/>
                <w:szCs w:val="20"/>
                <w:color w:val="auto"/>
              </w:rPr>
            </w:pPr>
            <w:r>
              <w:rPr>
                <w:rFonts w:ascii="Times New Roman" w:cs="Times New Roman" w:eastAsia="Times New Roman" w:hAnsi="Times New Roman"/>
                <w:sz w:val="20"/>
                <w:szCs w:val="20"/>
                <w:i w:val="1"/>
                <w:iCs w:val="1"/>
                <w:color w:val="auto"/>
                <w:w w:val="98"/>
              </w:rPr>
              <w:t>[signatures begin on following page]</w:t>
            </w:r>
          </w:p>
        </w:tc>
        <w:tc>
          <w:tcPr>
            <w:tcW w:w="3400" w:type="dxa"/>
            <w:vAlign w:val="bottom"/>
          </w:tcPr>
          <w:p>
            <w:pPr>
              <w:spacing w:after="0"/>
              <w:rPr>
                <w:sz w:val="24"/>
                <w:szCs w:val="24"/>
                <w:color w:val="auto"/>
              </w:rPr>
            </w:pPr>
          </w:p>
        </w:tc>
      </w:tr>
      <w:tr>
        <w:trPr>
          <w:trHeight w:val="958"/>
        </w:trPr>
        <w:tc>
          <w:tcPr>
            <w:tcW w:w="3620" w:type="dxa"/>
            <w:vAlign w:val="bottom"/>
          </w:tcPr>
          <w:p>
            <w:pPr>
              <w:spacing w:after="0"/>
              <w:rPr>
                <w:sz w:val="24"/>
                <w:szCs w:val="24"/>
                <w:color w:val="auto"/>
              </w:rPr>
            </w:pPr>
          </w:p>
        </w:tc>
        <w:tc>
          <w:tcPr>
            <w:tcW w:w="4240" w:type="dxa"/>
            <w:vAlign w:val="bottom"/>
            <w:gridSpan w:val="2"/>
          </w:tcPr>
          <w:p>
            <w:pPr>
              <w:jc w:val="right"/>
              <w:ind w:right="1981"/>
              <w:spacing w:after="0"/>
              <w:rPr>
                <w:sz w:val="20"/>
                <w:szCs w:val="20"/>
                <w:color w:val="auto"/>
              </w:rPr>
            </w:pPr>
            <w:r>
              <w:rPr>
                <w:rFonts w:ascii="Times New Roman" w:cs="Times New Roman" w:eastAsia="Times New Roman" w:hAnsi="Times New Roman"/>
                <w:sz w:val="20"/>
                <w:szCs w:val="20"/>
                <w:color w:val="auto"/>
              </w:rPr>
              <w:t>-48-</w:t>
            </w:r>
          </w:p>
        </w:tc>
        <w:tc>
          <w:tcPr>
            <w:tcW w:w="3400" w:type="dxa"/>
            <w:vAlign w:val="bottom"/>
          </w:tcPr>
          <w:p>
            <w:pPr>
              <w:spacing w:after="0"/>
              <w:rPr>
                <w:sz w:val="24"/>
                <w:szCs w:val="24"/>
                <w:color w:val="auto"/>
              </w:rPr>
            </w:pPr>
          </w:p>
        </w:tc>
      </w:tr>
      <w:tr>
        <w:trPr>
          <w:trHeight w:val="109"/>
        </w:trPr>
        <w:tc>
          <w:tcPr>
            <w:tcW w:w="36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20"/>
          <w:szCs w:val="20"/>
          <w:color w:val="auto"/>
        </w:rPr>
        <w:t>IN WITNESS WHEREOF, Landlord and Tenant have caused this Lease to be executed the day and date first above written.</w:t>
      </w:r>
    </w:p>
    <w:p>
      <w:pPr>
        <w:spacing w:after="0" w:line="2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NORTH CREEK PARKWAY CENTER INVESTORS, LP, a</w:t>
      </w:r>
    </w:p>
    <w:p>
      <w:pPr>
        <w:ind w:left="4780"/>
        <w:spacing w:after="0"/>
        <w:rPr>
          <w:sz w:val="20"/>
          <w:szCs w:val="20"/>
          <w:color w:val="auto"/>
        </w:rPr>
      </w:pPr>
      <w:r>
        <w:rPr>
          <w:rFonts w:ascii="Times New Roman" w:cs="Times New Roman" w:eastAsia="Times New Roman" w:hAnsi="Times New Roman"/>
          <w:sz w:val="20"/>
          <w:szCs w:val="20"/>
          <w:color w:val="auto"/>
        </w:rPr>
        <w:t>California limited partnership</w:t>
      </w:r>
    </w:p>
    <w:p>
      <w:pPr>
        <w:spacing w:after="0" w:line="221" w:lineRule="exact"/>
        <w:rPr>
          <w:sz w:val="20"/>
          <w:szCs w:val="20"/>
          <w:color w:val="auto"/>
        </w:rPr>
      </w:pPr>
    </w:p>
    <w:p>
      <w:pPr>
        <w:ind w:left="4780"/>
        <w:spacing w:after="0"/>
        <w:tabs>
          <w:tab w:leader="none" w:pos="5340" w:val="left"/>
        </w:tabs>
        <w:rPr>
          <w:sz w:val="20"/>
          <w:szCs w:val="20"/>
          <w:color w:val="auto"/>
        </w:rPr>
      </w:pPr>
      <w:r>
        <w:rPr>
          <w:rFonts w:ascii="Times New Roman" w:cs="Times New Roman" w:eastAsia="Times New Roman" w:hAnsi="Times New Roman"/>
          <w:sz w:val="20"/>
          <w:szCs w:val="20"/>
          <w:color w:val="auto"/>
        </w:rPr>
        <w:t>By:</w:t>
        <w:tab/>
        <w:t>PRP GP NC, LLC, a</w:t>
      </w:r>
    </w:p>
    <w:p>
      <w:pPr>
        <w:spacing w:after="0" w:line="2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Delaware limited liability company,</w:t>
      </w:r>
    </w:p>
    <w:p>
      <w:pPr>
        <w:spacing w:after="0" w:line="1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41" w:lineRule="exact"/>
        <w:rPr>
          <w:sz w:val="20"/>
          <w:szCs w:val="20"/>
          <w:color w:val="auto"/>
        </w:rPr>
      </w:pPr>
    </w:p>
    <w:tbl>
      <w:tblPr>
        <w:tblLayout w:type="fixed"/>
        <w:tblInd w:w="5360" w:type="dxa"/>
        <w:tblCellMar>
          <w:top w:w="0" w:type="dxa"/>
          <w:left w:w="0" w:type="dxa"/>
          <w:bottom w:w="0" w:type="dxa"/>
          <w:right w:w="0" w:type="dxa"/>
        </w:tblCellMar>
      </w:tblPr>
      <w:tr>
        <w:trPr>
          <w:trHeight w:val="26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Stephen M. Zotovich</w:t>
            </w:r>
          </w:p>
        </w:tc>
      </w:tr>
      <w:tr>
        <w:trPr>
          <w:trHeight w:val="256"/>
        </w:trPr>
        <w:tc>
          <w:tcPr>
            <w:tcW w:w="62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Stephen M. Zotovich, its Manager</w:t>
            </w:r>
          </w:p>
        </w:tc>
      </w:tr>
    </w:tbl>
    <w:p>
      <w:pPr>
        <w:spacing w:after="0" w:line="20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2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ATHIRA PHARMA, INC., a Delaware corporation</w:t>
      </w:r>
    </w:p>
    <w:p>
      <w:pPr>
        <w:spacing w:after="0" w:line="243" w:lineRule="exact"/>
        <w:rPr>
          <w:sz w:val="20"/>
          <w:szCs w:val="20"/>
          <w:color w:val="auto"/>
        </w:rPr>
      </w:pPr>
    </w:p>
    <w:p>
      <w:pPr>
        <w:ind w:left="4780"/>
        <w:spacing w:after="0"/>
        <w:tabs>
          <w:tab w:leader="none" w:pos="54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3440430</wp:posOffset>
            </wp:positionH>
            <wp:positionV relativeFrom="paragraph">
              <wp:posOffset>22860</wp:posOffset>
            </wp:positionV>
            <wp:extent cx="316293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9">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5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Name: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3440430</wp:posOffset>
            </wp:positionH>
            <wp:positionV relativeFrom="paragraph">
              <wp:posOffset>22860</wp:posOffset>
            </wp:positionV>
            <wp:extent cx="31629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50" w:lineRule="exact"/>
        <w:rPr>
          <w:sz w:val="20"/>
          <w:szCs w:val="20"/>
          <w:color w:val="auto"/>
        </w:rPr>
      </w:pPr>
    </w:p>
    <w:p>
      <w:pPr>
        <w:ind w:left="4780"/>
        <w:spacing w:after="0"/>
        <w:tabs>
          <w:tab w:leader="none" w:pos="5400" w:val="left"/>
        </w:tabs>
        <w:rPr>
          <w:sz w:val="20"/>
          <w:szCs w:val="20"/>
          <w:color w:val="auto"/>
        </w:rPr>
      </w:pPr>
      <w:r>
        <w:rPr>
          <w:rFonts w:ascii="Times New Roman" w:cs="Times New Roman" w:eastAsia="Times New Roman" w:hAnsi="Times New Roman"/>
          <w:sz w:val="20"/>
          <w:szCs w:val="20"/>
          <w:color w:val="auto"/>
        </w:rPr>
        <w:t>Title:</w:t>
        <w:tab/>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3440430</wp:posOffset>
            </wp:positionH>
            <wp:positionV relativeFrom="paragraph">
              <wp:posOffset>22860</wp:posOffset>
            </wp:positionV>
            <wp:extent cx="31629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82550</wp:posOffset>
            </wp:positionV>
            <wp:extent cx="7149465"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76" w:right="339" w:bottom="1440" w:gutter="0" w:footer="0" w:header="0"/>
        </w:sectPr>
      </w:pPr>
    </w:p>
    <w:bookmarkStart w:id="456" w:name="page457"/>
    <w:bookmarkEnd w:id="456"/>
    <w:p>
      <w:pPr>
        <w:jc w:val="center"/>
        <w:spacing w:after="0"/>
        <w:rPr>
          <w:sz w:val="20"/>
          <w:szCs w:val="20"/>
          <w:color w:val="auto"/>
        </w:rPr>
      </w:pPr>
      <w:r>
        <w:rPr>
          <w:rFonts w:ascii="Times New Roman" w:cs="Times New Roman" w:eastAsia="Times New Roman" w:hAnsi="Times New Roman"/>
          <w:sz w:val="20"/>
          <w:szCs w:val="20"/>
          <w:color w:val="auto"/>
        </w:rPr>
        <w:t>CALIFORNIA ALL PURPOSE ACKNOWLEDGMENT</w:t>
      </w:r>
    </w:p>
    <w:p>
      <w:pPr>
        <w:spacing w:after="0" w:line="216" w:lineRule="exact"/>
        <w:rPr>
          <w:sz w:val="20"/>
          <w:szCs w:val="20"/>
          <w:color w:val="auto"/>
        </w:rPr>
      </w:pPr>
    </w:p>
    <w:p>
      <w:pPr>
        <w:ind w:left="140"/>
        <w:spacing w:after="0" w:line="269" w:lineRule="auto"/>
        <w:rPr>
          <w:sz w:val="20"/>
          <w:szCs w:val="20"/>
          <w:color w:val="auto"/>
        </w:rPr>
      </w:pPr>
      <w:r>
        <w:rPr>
          <w:rFonts w:ascii="Times New Roman" w:cs="Times New Roman" w:eastAsia="Times New Roman" w:hAnsi="Times New Roman"/>
          <w:sz w:val="20"/>
          <w:szCs w:val="20"/>
          <w:color w:val="auto"/>
        </w:rPr>
        <w:t>A notary public or other officer completing this certificate verifies only the identity of the individual who signed the document to which this certificate is attached, and not the truthfulness, accuracy, or validity of that document.</w:t>
      </w:r>
    </w:p>
    <w:p>
      <w:pPr>
        <w:sectPr>
          <w:pgSz w:w="11900" w:h="16838" w:orient="portrait"/>
          <w:cols w:equalWidth="0" w:num="1">
            <w:col w:w="11240"/>
          </w:cols>
          <w:pgMar w:left="320" w:top="576" w:right="33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of California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Orange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3700" w:space="720"/>
            <w:col w:w="6820"/>
          </w:cols>
          <w:pgMar w:left="320" w:top="576" w:right="3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July 27, 2020, before me, J. Beckman, Notary Public, personally appeared Stephen M. Zotovich, who proved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certify under PENALTY OF PERJURY under the laws of the State of California that the foregoing paragraph is true and correct.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WITNESS my hand and official seal.</w:t>
      </w:r>
    </w:p>
    <w:p>
      <w:pPr>
        <w:spacing w:after="0" w:line="243" w:lineRule="exact"/>
        <w:rPr>
          <w:sz w:val="20"/>
          <w:szCs w:val="20"/>
          <w:color w:val="auto"/>
        </w:rPr>
      </w:pPr>
    </w:p>
    <w:p>
      <w:pPr>
        <w:spacing w:after="0"/>
        <w:tabs>
          <w:tab w:leader="none" w:pos="1320" w:val="left"/>
          <w:tab w:leader="none" w:pos="57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/s/ J. Beckman</w:t>
      </w:r>
      <w:r>
        <w:rPr>
          <w:sz w:val="20"/>
          <w:szCs w:val="20"/>
          <w:color w:val="auto"/>
        </w:rPr>
        <w:tab/>
      </w:r>
      <w:r>
        <w:rPr>
          <w:rFonts w:ascii="Times New Roman" w:cs="Times New Roman" w:eastAsia="Times New Roman" w:hAnsi="Times New Roman"/>
          <w:sz w:val="20"/>
          <w:szCs w:val="20"/>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22860</wp:posOffset>
            </wp:positionV>
            <wp:extent cx="2802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457" w:name="page458"/>
    <w:bookmarkEnd w:id="457"/>
    <w:p>
      <w:pPr>
        <w:spacing w:after="0"/>
        <w:tabs>
          <w:tab w:leader="none" w:pos="3920" w:val="left"/>
        </w:tabs>
        <w:rPr>
          <w:sz w:val="20"/>
          <w:szCs w:val="20"/>
          <w:color w:val="auto"/>
        </w:rPr>
      </w:pPr>
      <w:r>
        <w:rPr>
          <w:rFonts w:ascii="Times New Roman" w:cs="Times New Roman" w:eastAsia="Times New Roman" w:hAnsi="Times New Roman"/>
          <w:sz w:val="20"/>
          <w:szCs w:val="20"/>
          <w:color w:val="auto"/>
        </w:rPr>
        <w:t>STATE OF WASHINGTON</w:t>
      </w:r>
      <w:r>
        <w:rPr>
          <w:sz w:val="20"/>
          <w:szCs w:val="20"/>
          <w:color w:val="auto"/>
        </w:rPr>
        <w:tab/>
      </w:r>
      <w:r>
        <w:rPr>
          <w:rFonts w:ascii="Times New Roman" w:cs="Times New Roman" w:eastAsia="Times New Roman" w:hAnsi="Times New Roman"/>
          <w:sz w:val="18"/>
          <w:szCs w:val="18"/>
          <w:color w:val="auto"/>
        </w:rPr>
        <w:t>)</w:t>
      </w:r>
    </w:p>
    <w:p>
      <w:pPr>
        <w:spacing w:after="0" w:line="28" w:lineRule="exact"/>
        <w:rPr>
          <w:sz w:val="20"/>
          <w:szCs w:val="20"/>
          <w:color w:val="auto"/>
        </w:rPr>
      </w:pPr>
    </w:p>
    <w:p>
      <w:pPr>
        <w:ind w:left="4280" w:hanging="342"/>
        <w:spacing w:after="0"/>
        <w:tabs>
          <w:tab w:leader="none" w:pos="4280"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ss.</w:t>
      </w:r>
    </w:p>
    <w:p>
      <w:pPr>
        <w:spacing w:after="0" w:line="13"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20"/>
          <w:szCs w:val="20"/>
          <w:color w:val="auto"/>
        </w:rPr>
        <w:t>COUNTY OF KING</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00" w:right="20" w:firstLine="1651"/>
        <w:spacing w:after="0" w:line="269" w:lineRule="auto"/>
        <w:rPr>
          <w:sz w:val="20"/>
          <w:szCs w:val="20"/>
          <w:color w:val="auto"/>
        </w:rPr>
      </w:pPr>
      <w:r>
        <w:rPr>
          <w:rFonts w:ascii="Times New Roman" w:cs="Times New Roman" w:eastAsia="Times New Roman" w:hAnsi="Times New Roman"/>
          <w:sz w:val="20"/>
          <w:szCs w:val="20"/>
          <w:color w:val="auto"/>
        </w:rPr>
        <w:t>I certify that I know or have satisfactory evidence that the person appearing before me and making this acknowledgment is the person whose true signature appears on this document.</w:t>
      </w:r>
    </w:p>
    <w:p>
      <w:pPr>
        <w:spacing w:after="0" w:line="159" w:lineRule="exact"/>
        <w:rPr>
          <w:sz w:val="20"/>
          <w:szCs w:val="20"/>
          <w:color w:val="auto"/>
        </w:rPr>
      </w:pPr>
    </w:p>
    <w:p>
      <w:pPr>
        <w:jc w:val="both"/>
        <w:ind w:left="100" w:firstLine="1651"/>
        <w:spacing w:after="0" w:line="249" w:lineRule="auto"/>
        <w:rPr>
          <w:sz w:val="20"/>
          <w:szCs w:val="20"/>
          <w:color w:val="auto"/>
        </w:rPr>
      </w:pPr>
      <w:r>
        <w:rPr>
          <w:rFonts w:ascii="Times New Roman" w:cs="Times New Roman" w:eastAsia="Times New Roman" w:hAnsi="Times New Roman"/>
          <w:sz w:val="20"/>
          <w:szCs w:val="20"/>
          <w:color w:val="auto"/>
        </w:rPr>
        <w:t>On this 27th day of July, 2020, before me personally appeared Leen Kawas, to me known to be the Principal of ATHIRA PHARMA, INC., the corporation that executed the within and foregoing instrument, and acknowledged the said instrument to be the free and voluntary act and deed of said company, for the uses and purposes therein mentioned, and on oath stated that they were authorized to execute said instrument.</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WITNESS my hand and official seal hereto affixed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Sarah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2773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Public in and for the State of Washington,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residing at</w:t>
            </w: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Everett</w:t>
            </w:r>
          </w:p>
        </w:tc>
        <w:tc>
          <w:tcPr>
            <w:tcW w:w="4080" w:type="dxa"/>
            <w:vAlign w:val="bottom"/>
            <w:tcBorders>
              <w:bottom w:val="single" w:sz="8" w:color="auto"/>
            </w:tcBorders>
          </w:tcPr>
          <w:p>
            <w:pPr>
              <w:spacing w:after="0"/>
              <w:rPr>
                <w:sz w:val="21"/>
                <w:szCs w:val="21"/>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My commission</w:t>
            </w: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expires:</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June 19,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58" w:name="page459"/>
    <w:bookmarkEnd w:id="45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NORTH CREEK PARKWAY CENTER</w:t>
      </w:r>
    </w:p>
    <w:p>
      <w:pPr>
        <w:spacing w:after="0" w:line="2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u w:val="single" w:color="auto"/>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170815</wp:posOffset>
            </wp:positionV>
            <wp:extent cx="5520690" cy="36601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7">
                      <a:extLst>
                        <a:ext uri="{28A0092B-C50C-407E-A947-70E740481C1C}"/>
                      </a:extLst>
                    </a:blip>
                    <a:srcRect/>
                    <a:stretch>
                      <a:fillRect/>
                    </a:stretch>
                  </pic:blipFill>
                  <pic:spPr bwMode="auto">
                    <a:xfrm>
                      <a:off x="0" y="0"/>
                      <a:ext cx="552069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82550</wp:posOffset>
            </wp:positionV>
            <wp:extent cx="7149465"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459" w:name="page460"/>
    <w:bookmarkEnd w:id="459"/>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A-2</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LOCATION OF TENANT’S EXCLUSIVE USE PARKING PASSES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332740</wp:posOffset>
            </wp:positionV>
            <wp:extent cx="5546090" cy="33261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9">
                      <a:extLst>
                        <a:ext uri="{28A0092B-C50C-407E-A947-70E740481C1C}"/>
                      </a:extLst>
                    </a:blip>
                    <a:srcRect/>
                    <a:stretch>
                      <a:fillRect/>
                    </a:stretch>
                  </pic:blipFill>
                  <pic:spPr bwMode="auto">
                    <a:xfrm>
                      <a:off x="0" y="0"/>
                      <a:ext cx="554609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A-1</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68580</wp:posOffset>
            </wp:positionV>
            <wp:extent cx="7149465"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460" w:name="page461"/>
    <w:bookmarkEnd w:id="46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NORTH CREEK PARKWAY CENTER</w:t>
      </w:r>
    </w:p>
    <w:p>
      <w:pPr>
        <w:spacing w:after="0" w:line="2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u w:val="single" w:color="auto"/>
          <w:color w:val="auto"/>
        </w:rPr>
        <w:t>LEGAL DESCRIPTION OF PROJECT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PARCEL A:</w:t>
      </w:r>
    </w:p>
    <w:p>
      <w:pPr>
        <w:spacing w:after="0" w:line="2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LOTS 28, 29, 30 AND 31 OF QUADRANT BUSINESS PARK - BOTHELL, AS PER PLAT RECORDED IN VOLUME 131 OF PLATS, PAGES 87 THROUGH 91, INCLUSIVE, RECORDS OF KING COUNTY, WASHINGTON; (BEING KNOWN AS LOTS 1, 2, 3, 4, 5 AND 6, QUADRANT CORPORATE CENTER, A BINDING SITE PLAN, RECORDED UNDER RECORDING NUMBER 9610250257).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PARCEL B:</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EASEMENT FOR INGRESS AND EGRESS OVER AND UPON THE STREETSCAPE AREA (AS DEFINED IN THE DECLARATION, AS HEREINAFTER DEFINED) AND COMMON AREAS (AS DEFINED IN THE DECLARATION), AS SET FORTH IN THAT CERTAIN DECLARATION OF PROTECTIVE COVENANTS, CONDITIONS, RESTRICTIONS, EASEMENTS, AND AGREEMENTS FOR QUADRANT BUSINESS PARK – BOTHELL (AS AMENDED) RECORDED ON AUGUST 6, 1985, UNDER RECORDING NUMBER 8508061033 (THE “DECLARATION”).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SITUATE IN THE CITY OF BOTHELL, COUNTY OF KING, STATE OF 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61" w:name="page462"/>
    <w:bookmarkEnd w:id="46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0" w:lineRule="exact"/>
        <w:rPr>
          <w:sz w:val="20"/>
          <w:szCs w:val="20"/>
          <w:color w:val="auto"/>
        </w:rPr>
      </w:pPr>
    </w:p>
    <w:p>
      <w:pPr>
        <w:spacing w:after="0" w:line="23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NORTH CREEK PARKWAY CENTER</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u w:val="single" w:color="auto"/>
          <w:color w:val="auto"/>
        </w:rPr>
        <w:t>TENANT WORK LETTER</w:t>
      </w:r>
    </w:p>
    <w:p>
      <w:pPr>
        <w:spacing w:after="0" w:line="220" w:lineRule="exact"/>
        <w:rPr>
          <w:sz w:val="20"/>
          <w:szCs w:val="20"/>
          <w:color w:val="auto"/>
        </w:rPr>
      </w:pPr>
    </w:p>
    <w:p>
      <w:pPr>
        <w:jc w:val="both"/>
        <w:ind w:firstLine="840"/>
        <w:spacing w:after="0" w:line="245" w:lineRule="auto"/>
        <w:tabs>
          <w:tab w:leader="none" w:pos="162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agrees to provide Tenant with the Tenant Improvement Allowance set forth in Section 12 of the Summary (the “Allowance”) for the design, planning and construction of certain Tenant Improvements (as defined below). The Allowance must be used by Tenant with respect to each portion of the Premises, if at all, by the date that is six (6) months after the Lease Commencement Date for the applicable portion of the Premises, and any unused portion of the Allowance outstanding as of such date shall be retained by Landlord. The Tenant Improvement Allowance shall be allocated among Suite 104, Suite 110, and Suite 120 based upon the actual rentable square footage within each Suite.</w:t>
      </w:r>
    </w:p>
    <w:p>
      <w:pPr>
        <w:spacing w:after="0" w:line="184"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0"/>
          <w:szCs w:val="20"/>
          <w:color w:val="auto"/>
        </w:rPr>
        <w:t>The Allowance shall be applied solely to the cost of the Tenant Improvements (defined below), as specified in the Final Plans (defined below) approved by Tenant and Landlord pursuant to this Work Letter. Landlord shall pay the Allowance applicable to each Suite to Tenant within 10 business days of Tenant’s written request thereof, provided that Tenant has (a) completed the Tenant Improvements with respect to such Suite, and (b) submitted copies of reasonable documentation to evidence the cost of Tenant’s Improvements with such request, including invoices and receipts of same, and lien releases.</w:t>
      </w:r>
    </w:p>
    <w:p>
      <w:pPr>
        <w:spacing w:after="0" w:line="185" w:lineRule="exact"/>
        <w:rPr>
          <w:sz w:val="20"/>
          <w:szCs w:val="20"/>
          <w:color w:val="auto"/>
        </w:rPr>
      </w:pPr>
    </w:p>
    <w:p>
      <w:pPr>
        <w:jc w:val="both"/>
        <w:ind w:right="20" w:firstLine="840"/>
        <w:spacing w:after="0" w:line="254" w:lineRule="auto"/>
        <w:tabs>
          <w:tab w:leader="none" w:pos="1628"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(a)“Tenant Improvements” shall include only those improvements within the interior portions of the Premises which are depicted on the Final Plans. “Tenant Improvements” shall specifically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include any of Tenant’s personal property, or the purchase of supplies, equipment, furniture or other items of personal property of Tenant, except as may be specifically provided below.</w:t>
      </w:r>
    </w:p>
    <w:p>
      <w:pPr>
        <w:spacing w:after="0" w:line="174" w:lineRule="exact"/>
        <w:rPr>
          <w:rFonts w:ascii="Times New Roman" w:cs="Times New Roman" w:eastAsia="Times New Roman" w:hAnsi="Times New Roman"/>
          <w:sz w:val="20"/>
          <w:szCs w:val="20"/>
          <w:color w:val="auto"/>
        </w:rPr>
      </w:pPr>
    </w:p>
    <w:p>
      <w:pPr>
        <w:ind w:left="2560" w:hanging="889"/>
        <w:spacing w:after="0"/>
        <w:tabs>
          <w:tab w:leader="none" w:pos="2560"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Tenant Improvements may include:</w:t>
      </w:r>
    </w:p>
    <w:p>
      <w:pPr>
        <w:spacing w:after="0" w:line="215" w:lineRule="exact"/>
        <w:rPr>
          <w:rFonts w:ascii="Times New Roman" w:cs="Times New Roman" w:eastAsia="Times New Roman" w:hAnsi="Times New Roman"/>
          <w:sz w:val="20"/>
          <w:szCs w:val="20"/>
          <w:color w:val="auto"/>
        </w:rPr>
      </w:pPr>
    </w:p>
    <w:p>
      <w:pPr>
        <w:ind w:left="3320" w:hanging="828"/>
        <w:spacing w:after="0" w:line="269" w:lineRule="auto"/>
        <w:tabs>
          <w:tab w:leader="none" w:pos="3320" w:val="left"/>
        </w:tabs>
        <w:numPr>
          <w:ilvl w:val="2"/>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partitioning, doors, floor covering, finishes, ceilings, wall coverings and painting, millwork and similar items.</w:t>
      </w:r>
    </w:p>
    <w:p>
      <w:pPr>
        <w:spacing w:after="0" w:line="159" w:lineRule="exact"/>
        <w:rPr>
          <w:rFonts w:ascii="Times New Roman" w:cs="Times New Roman" w:eastAsia="Times New Roman" w:hAnsi="Times New Roman"/>
          <w:sz w:val="20"/>
          <w:szCs w:val="20"/>
          <w:color w:val="auto"/>
        </w:rPr>
      </w:pPr>
    </w:p>
    <w:p>
      <w:pPr>
        <w:ind w:left="3320" w:hanging="828"/>
        <w:spacing w:after="0"/>
        <w:tabs>
          <w:tab w:leader="none" w:pos="3320" w:val="left"/>
        </w:tabs>
        <w:numPr>
          <w:ilvl w:val="2"/>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electrical wiring, lighting fixtures, outlets and switches, and other electrical work.</w:t>
      </w:r>
    </w:p>
    <w:p>
      <w:pPr>
        <w:spacing w:after="0" w:line="215" w:lineRule="exact"/>
        <w:rPr>
          <w:rFonts w:ascii="Times New Roman" w:cs="Times New Roman" w:eastAsia="Times New Roman" w:hAnsi="Times New Roman"/>
          <w:sz w:val="20"/>
          <w:szCs w:val="20"/>
          <w:color w:val="auto"/>
        </w:rPr>
      </w:pPr>
    </w:p>
    <w:p>
      <w:pPr>
        <w:jc w:val="both"/>
        <w:ind w:left="3320" w:hanging="828"/>
        <w:spacing w:after="0" w:line="254" w:lineRule="auto"/>
        <w:tabs>
          <w:tab w:leader="none" w:pos="3320" w:val="left"/>
        </w:tabs>
        <w:numPr>
          <w:ilvl w:val="2"/>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duct work, terminal boxes, diffusers and accessories required for the completion of the heating, ventilation and air conditioning systems serving the Premises, including the cost of meter and key control for after-hours air conditioning.</w:t>
      </w:r>
    </w:p>
    <w:p>
      <w:pPr>
        <w:spacing w:after="0" w:line="174" w:lineRule="exact"/>
        <w:rPr>
          <w:rFonts w:ascii="Times New Roman" w:cs="Times New Roman" w:eastAsia="Times New Roman" w:hAnsi="Times New Roman"/>
          <w:sz w:val="20"/>
          <w:szCs w:val="20"/>
          <w:color w:val="auto"/>
        </w:rPr>
      </w:pPr>
    </w:p>
    <w:p>
      <w:pPr>
        <w:ind w:left="3320" w:hanging="828"/>
        <w:spacing w:after="0" w:line="269" w:lineRule="auto"/>
        <w:tabs>
          <w:tab w:leader="none" w:pos="3320" w:val="left"/>
        </w:tabs>
        <w:numPr>
          <w:ilvl w:val="2"/>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Tenant requirements including but not limited to odor control, special heating, ventilation and air conditioning, noise or vibration control or other special systems.</w:t>
      </w:r>
    </w:p>
    <w:p>
      <w:pPr>
        <w:spacing w:after="0" w:line="159" w:lineRule="exact"/>
        <w:rPr>
          <w:rFonts w:ascii="Times New Roman" w:cs="Times New Roman" w:eastAsia="Times New Roman" w:hAnsi="Times New Roman"/>
          <w:sz w:val="20"/>
          <w:szCs w:val="20"/>
          <w:color w:val="auto"/>
        </w:rPr>
      </w:pPr>
    </w:p>
    <w:p>
      <w:pPr>
        <w:ind w:left="3320" w:hanging="828"/>
        <w:spacing w:after="0" w:line="269" w:lineRule="auto"/>
        <w:tabs>
          <w:tab w:leader="none" w:pos="3320" w:val="left"/>
        </w:tabs>
        <w:numPr>
          <w:ilvl w:val="2"/>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fire and life safety control systems such as fire walls, sprinklers, halon, fire alarms, including piping, wiring and accessories installed within the Building and serving the Premises.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62" w:name="page463"/>
    <w:bookmarkEnd w:id="462"/>
    <w:p>
      <w:pPr>
        <w:ind w:left="3320" w:hanging="828"/>
        <w:spacing w:after="0" w:line="269" w:lineRule="auto"/>
        <w:tabs>
          <w:tab w:leader="none" w:pos="3320"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plumbing, fixtures, pipes and accessories to be installed within the Building and serving the Premises.</w:t>
      </w:r>
    </w:p>
    <w:p>
      <w:pPr>
        <w:spacing w:after="0" w:line="159" w:lineRule="exact"/>
        <w:rPr>
          <w:rFonts w:ascii="Times New Roman" w:cs="Times New Roman" w:eastAsia="Times New Roman" w:hAnsi="Times New Roman"/>
          <w:sz w:val="20"/>
          <w:szCs w:val="20"/>
          <w:color w:val="auto"/>
        </w:rPr>
      </w:pPr>
    </w:p>
    <w:p>
      <w:pPr>
        <w:ind w:firstLine="1671"/>
        <w:spacing w:after="0" w:line="269" w:lineRule="auto"/>
        <w:tabs>
          <w:tab w:leader="none" w:pos="2531"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Tenant Improvements Cost shall include all fees, costs and expenses associated with the design, preparation, approval and construction of the Tenant Improvements, including but not limited to the following:</w:t>
      </w:r>
    </w:p>
    <w:p>
      <w:pPr>
        <w:spacing w:after="0" w:line="159" w:lineRule="exact"/>
        <w:rPr>
          <w:rFonts w:ascii="Times New Roman" w:cs="Times New Roman" w:eastAsia="Times New Roman" w:hAnsi="Times New Roman"/>
          <w:sz w:val="20"/>
          <w:szCs w:val="20"/>
          <w:color w:val="auto"/>
        </w:rPr>
      </w:pPr>
    </w:p>
    <w:p>
      <w:pPr>
        <w:ind w:left="3320" w:hanging="828"/>
        <w:spacing w:after="0" w:line="269" w:lineRule="auto"/>
        <w:tabs>
          <w:tab w:leader="none" w:pos="332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costs of preliminary and final architectural and engineering plans and specifications for the Tenant Improvements.</w:t>
      </w:r>
    </w:p>
    <w:p>
      <w:pPr>
        <w:spacing w:after="0" w:line="159" w:lineRule="exact"/>
        <w:rPr>
          <w:rFonts w:ascii="Times New Roman" w:cs="Times New Roman" w:eastAsia="Times New Roman" w:hAnsi="Times New Roman"/>
          <w:sz w:val="20"/>
          <w:szCs w:val="20"/>
          <w:color w:val="auto"/>
        </w:rPr>
      </w:pPr>
    </w:p>
    <w:p>
      <w:pPr>
        <w:ind w:left="3320" w:right="20" w:hanging="828"/>
        <w:spacing w:after="0" w:line="269" w:lineRule="auto"/>
        <w:tabs>
          <w:tab w:leader="none" w:pos="332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costs of obtaining building permits and other necessary authorizations and approvals from governmental authorities, including inspection fees.</w:t>
      </w:r>
    </w:p>
    <w:p>
      <w:pPr>
        <w:spacing w:after="0" w:line="159" w:lineRule="exact"/>
        <w:rPr>
          <w:rFonts w:ascii="Times New Roman" w:cs="Times New Roman" w:eastAsia="Times New Roman" w:hAnsi="Times New Roman"/>
          <w:sz w:val="20"/>
          <w:szCs w:val="20"/>
          <w:color w:val="auto"/>
        </w:rPr>
      </w:pPr>
    </w:p>
    <w:p>
      <w:pPr>
        <w:ind w:left="3320" w:hanging="828"/>
        <w:spacing w:after="0"/>
        <w:tabs>
          <w:tab w:leader="none" w:pos="3320" w:val="left"/>
        </w:tabs>
        <w:numPr>
          <w:ilvl w:val="1"/>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costs of interior design and finish schedule plans and specifications, including as-built drawings.</w:t>
      </w:r>
    </w:p>
    <w:p>
      <w:pPr>
        <w:spacing w:after="0" w:line="227" w:lineRule="exact"/>
        <w:rPr>
          <w:rFonts w:ascii="Times New Roman" w:cs="Times New Roman" w:eastAsia="Times New Roman" w:hAnsi="Times New Roman"/>
          <w:sz w:val="19"/>
          <w:szCs w:val="19"/>
          <w:color w:val="auto"/>
        </w:rPr>
      </w:pPr>
    </w:p>
    <w:p>
      <w:pPr>
        <w:jc w:val="both"/>
        <w:ind w:left="3320" w:hanging="828"/>
        <w:spacing w:after="0" w:line="246" w:lineRule="auto"/>
        <w:tabs>
          <w:tab w:leader="none" w:pos="332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and indirect costs of procuring, constructing and installing the Tenant Improvements in the Premises, including but not limited to, the construction contractor’s fee for overhead and profit and the cost of all on-site supervisory and administrative staff, office, equipment, and temporary standard Tenant services rendered by Landlord of the type and nature described in Article 6, and all labor (including overtime and security), supplies and materials for the Tenant Improvements.</w:t>
      </w:r>
    </w:p>
    <w:p>
      <w:pPr>
        <w:spacing w:after="0" w:line="184" w:lineRule="exact"/>
        <w:rPr>
          <w:rFonts w:ascii="Times New Roman" w:cs="Times New Roman" w:eastAsia="Times New Roman" w:hAnsi="Times New Roman"/>
          <w:sz w:val="20"/>
          <w:szCs w:val="20"/>
          <w:color w:val="auto"/>
        </w:rPr>
      </w:pPr>
    </w:p>
    <w:p>
      <w:pPr>
        <w:jc w:val="both"/>
        <w:ind w:left="3320" w:hanging="828"/>
        <w:spacing w:after="0" w:line="254" w:lineRule="auto"/>
        <w:tabs>
          <w:tab w:leader="none" w:pos="332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charges payable to the architect, general contractor, subcontractors, and engineering firm if they are required by Tenant and/or any governmental authorities to redesign any portion of the Tenant Improvements following Tenant’s approval of the Final Plans.</w:t>
      </w:r>
    </w:p>
    <w:p>
      <w:pPr>
        <w:spacing w:after="0" w:line="174" w:lineRule="exact"/>
        <w:rPr>
          <w:rFonts w:ascii="Times New Roman" w:cs="Times New Roman" w:eastAsia="Times New Roman" w:hAnsi="Times New Roman"/>
          <w:sz w:val="20"/>
          <w:szCs w:val="20"/>
          <w:color w:val="auto"/>
        </w:rPr>
      </w:pPr>
    </w:p>
    <w:p>
      <w:pPr>
        <w:ind w:left="3320" w:right="20" w:hanging="828"/>
        <w:spacing w:after="0" w:line="269" w:lineRule="auto"/>
        <w:tabs>
          <w:tab w:leader="none" w:pos="332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construction supervision, development, and project management fee payable to Landlord of two percent (2%) of the Allowance.</w:t>
      </w:r>
    </w:p>
    <w:p>
      <w:pPr>
        <w:spacing w:after="0" w:line="159" w:lineRule="exact"/>
        <w:rPr>
          <w:rFonts w:ascii="Times New Roman" w:cs="Times New Roman" w:eastAsia="Times New Roman" w:hAnsi="Times New Roman"/>
          <w:sz w:val="20"/>
          <w:szCs w:val="20"/>
          <w:color w:val="auto"/>
        </w:rPr>
      </w:pPr>
    </w:p>
    <w:p>
      <w:pPr>
        <w:ind w:left="3320" w:hanging="828"/>
        <w:spacing w:after="0"/>
        <w:tabs>
          <w:tab w:leader="none" w:pos="332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utility connection fees, if any.</w:t>
      </w:r>
    </w:p>
    <w:p>
      <w:pPr>
        <w:spacing w:after="0" w:line="215" w:lineRule="exact"/>
        <w:rPr>
          <w:rFonts w:ascii="Times New Roman" w:cs="Times New Roman" w:eastAsia="Times New Roman" w:hAnsi="Times New Roman"/>
          <w:sz w:val="20"/>
          <w:szCs w:val="20"/>
          <w:color w:val="auto"/>
        </w:rPr>
      </w:pPr>
    </w:p>
    <w:p>
      <w:pPr>
        <w:ind w:left="3320" w:hanging="828"/>
        <w:spacing w:after="0"/>
        <w:tabs>
          <w:tab w:leader="none" w:pos="332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sales and use taxes, if any.</w:t>
      </w:r>
    </w:p>
    <w:p>
      <w:pPr>
        <w:spacing w:after="0" w:line="216" w:lineRule="exact"/>
        <w:rPr>
          <w:sz w:val="20"/>
          <w:szCs w:val="20"/>
          <w:color w:val="auto"/>
        </w:rPr>
      </w:pPr>
    </w:p>
    <w:p>
      <w:pPr>
        <w:ind w:firstLine="832"/>
        <w:spacing w:after="0" w:line="269" w:lineRule="auto"/>
        <w:rPr>
          <w:sz w:val="20"/>
          <w:szCs w:val="20"/>
          <w:color w:val="auto"/>
        </w:rPr>
      </w:pPr>
      <w:r>
        <w:rPr>
          <w:rFonts w:ascii="Times New Roman" w:cs="Times New Roman" w:eastAsia="Times New Roman" w:hAnsi="Times New Roman"/>
          <w:sz w:val="20"/>
          <w:szCs w:val="20"/>
          <w:color w:val="auto"/>
        </w:rPr>
        <w:t>In no event shall the Tenant Improvements Cost include any costs of procuring, constructing or installing in the Premises any of Tenant’s equipment or personal property.</w:t>
      </w:r>
    </w:p>
    <w:p>
      <w:pPr>
        <w:spacing w:after="0" w:line="159" w:lineRule="exact"/>
        <w:rPr>
          <w:sz w:val="20"/>
          <w:szCs w:val="20"/>
          <w:color w:val="auto"/>
        </w:rPr>
      </w:pPr>
    </w:p>
    <w:p>
      <w:pPr>
        <w:jc w:val="both"/>
        <w:ind w:firstLine="840"/>
        <w:spacing w:after="0" w:line="259" w:lineRule="auto"/>
        <w:tabs>
          <w:tab w:leader="none" w:pos="1628"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Tenant Improvements shall be constructed and completed by one or more contractors engaged by Tenant in a good and workmanlike manner, in compliance with all applicable statutes and regulations, and in conformity with the Final Plans (defined below). Tenant will issue bid packages to a selection of contractors mutually and reasonably agreed to by Landlord and Tenant for a competitive bidding process; provided, however, that Tenant shall not be automatically obligated to award the Tenant Improvements work to the lowest bidding contractor so long as Landlord consents (not to be unreasonably withheld). Further, and notwithstanding the foregoing, Tenant may select a contractor with Landlord’s reasonable approval without pursuing a competitive bidding process. In no event shall Tenant be required to use any specific architects, contractors, engineers, or subcontractors identified, preferred, or selected by Landlord.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3" w:name="page464"/>
    <w:bookmarkEnd w:id="463"/>
    <w:p>
      <w:pPr>
        <w:ind w:firstLine="840"/>
        <w:spacing w:after="0" w:line="269" w:lineRule="auto"/>
        <w:tabs>
          <w:tab w:leader="none" w:pos="1628"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Tenant has caused its architect to produce construction drawings for the Tenant Improvements (the “</w:t>
      </w:r>
      <w:r>
        <w:rPr>
          <w:rFonts w:ascii="Times New Roman" w:cs="Times New Roman" w:eastAsia="Times New Roman" w:hAnsi="Times New Roman"/>
          <w:sz w:val="20"/>
          <w:szCs w:val="20"/>
          <w:b w:val="1"/>
          <w:bCs w:val="1"/>
          <w:color w:val="auto"/>
        </w:rPr>
        <w:t>Drawings</w:t>
      </w:r>
      <w:r>
        <w:rPr>
          <w:rFonts w:ascii="Times New Roman" w:cs="Times New Roman" w:eastAsia="Times New Roman" w:hAnsi="Times New Roman"/>
          <w:sz w:val="20"/>
          <w:szCs w:val="20"/>
          <w:color w:val="auto"/>
        </w:rPr>
        <w:t>”) and submitted same to Landlord for its approval.</w:t>
      </w:r>
    </w:p>
    <w:p>
      <w:pPr>
        <w:spacing w:after="0" w:line="159" w:lineRule="exact"/>
        <w:rPr>
          <w:rFonts w:ascii="Times New Roman" w:cs="Times New Roman" w:eastAsia="Times New Roman" w:hAnsi="Times New Roman"/>
          <w:sz w:val="20"/>
          <w:szCs w:val="20"/>
          <w:color w:val="auto"/>
        </w:rPr>
      </w:pPr>
    </w:p>
    <w:p>
      <w:pPr>
        <w:jc w:val="both"/>
        <w:ind w:firstLine="1671"/>
        <w:spacing w:after="0" w:line="263" w:lineRule="auto"/>
        <w:tabs>
          <w:tab w:leader="none" w:pos="2542" w:val="left"/>
        </w:tabs>
        <w:numPr>
          <w:ilvl w:val="1"/>
          <w:numId w:val="3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shall respond to Tenant within five (5) business days after mutual execution of this Lease. with its written approval or disapproval of the Drawings, with such notice to include Landlord’s basis for any disapproval and proposed revisions required for Landlord to approve the same. If the Drawings are disapproved, Tenant shall have five (5) business days to submit revised Drawings to Landlord. Tenant shall not unreasonably refuse to satisfy any reasonable objections of Landlord to the Drawings. The review and revision of the Drawings shall continue until approved by Landlord. The approved Drawings are referred to herein as the “</w:t>
      </w:r>
      <w:r>
        <w:rPr>
          <w:rFonts w:ascii="Times New Roman" w:cs="Times New Roman" w:eastAsia="Times New Roman" w:hAnsi="Times New Roman"/>
          <w:sz w:val="19"/>
          <w:szCs w:val="19"/>
          <w:b w:val="1"/>
          <w:bCs w:val="1"/>
          <w:color w:val="auto"/>
        </w:rPr>
        <w:t>Final Plans</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firstLine="1671"/>
        <w:spacing w:after="0" w:line="249" w:lineRule="auto"/>
        <w:tabs>
          <w:tab w:leader="none" w:pos="2531"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Final Plans have been approved by Landlord and Tenant, Tenant or Tenant’s architect or contractor shall submit them to all government authorities having approval rights over the Tenant Improvements and shall apply for all governmental approvals and building permits. Upon receipt of such approval(s) and permit(s), and subject to the provisions of this Work Letter, Tenant shall thereafter commence and diligently proceed to complete construction of the Tenant Improvements.</w:t>
      </w:r>
    </w:p>
    <w:p>
      <w:pPr>
        <w:spacing w:after="0" w:line="179" w:lineRule="exact"/>
        <w:rPr>
          <w:rFonts w:ascii="Times New Roman" w:cs="Times New Roman" w:eastAsia="Times New Roman" w:hAnsi="Times New Roman"/>
          <w:sz w:val="20"/>
          <w:szCs w:val="20"/>
          <w:color w:val="auto"/>
        </w:rPr>
      </w:pPr>
    </w:p>
    <w:p>
      <w:pPr>
        <w:jc w:val="both"/>
        <w:ind w:firstLine="1671"/>
        <w:spacing w:after="0" w:line="246" w:lineRule="auto"/>
        <w:tabs>
          <w:tab w:leader="none" w:pos="2542"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assumes full and complete responsibility to ensure that the Tenant Improvements are adequate to fully meet the needs and requirements of Tenant’s business operations within the Premises and Tenant’s use of the Premises. Neither the approval by Landlord of the Final Plans, or of any other plans, specifications, drawings or other items associated with the Tenant Improvements nor Landlord’s supervision or monitoring of the Tenant Improvements shall constitute any warranty or covenant by Landlord to Tenant as to the adequacy of the design for Tenant’s intended use of the Premises.</w:t>
      </w:r>
    </w:p>
    <w:p>
      <w:pPr>
        <w:spacing w:after="0" w:line="184" w:lineRule="exact"/>
        <w:rPr>
          <w:rFonts w:ascii="Times New Roman" w:cs="Times New Roman" w:eastAsia="Times New Roman" w:hAnsi="Times New Roman"/>
          <w:sz w:val="20"/>
          <w:szCs w:val="20"/>
          <w:color w:val="auto"/>
        </w:rPr>
      </w:pPr>
    </w:p>
    <w:p>
      <w:pPr>
        <w:ind w:right="20" w:firstLine="840"/>
        <w:spacing w:after="0" w:line="269" w:lineRule="auto"/>
        <w:tabs>
          <w:tab w:leader="none" w:pos="1628"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Allowance shall be Landlord’s maximum contribution to the Tenant Improvements Cost, and Tenant shall pay all of the Tenant Improvements Cost in excess of the Allowance.</w:t>
      </w:r>
    </w:p>
    <w:p>
      <w:pPr>
        <w:spacing w:after="0" w:line="159" w:lineRule="exact"/>
        <w:rPr>
          <w:rFonts w:ascii="Times New Roman" w:cs="Times New Roman" w:eastAsia="Times New Roman" w:hAnsi="Times New Roman"/>
          <w:sz w:val="20"/>
          <w:szCs w:val="20"/>
          <w:color w:val="auto"/>
        </w:rPr>
      </w:pPr>
    </w:p>
    <w:p>
      <w:pPr>
        <w:jc w:val="both"/>
        <w:ind w:firstLine="1671"/>
        <w:spacing w:after="0" w:line="249" w:lineRule="auto"/>
        <w:tabs>
          <w:tab w:leader="none" w:pos="2542"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Tenant Improvements Cost exceeds the portion of the Allowance that Landlord is obligated to disburse pursuant to Section 1 above, then Tenant shall either pay any excess cost directly, when due, or, if paid by Landlord, pay to Landlord, in cash, the difference between the Tenant Improvements Cost and such portion of the Allowance within ten (10) business days after receipt of Landlord’s invoice therefor.</w:t>
      </w:r>
    </w:p>
    <w:p>
      <w:pPr>
        <w:spacing w:after="0" w:line="179" w:lineRule="exact"/>
        <w:rPr>
          <w:rFonts w:ascii="Times New Roman" w:cs="Times New Roman" w:eastAsia="Times New Roman" w:hAnsi="Times New Roman"/>
          <w:sz w:val="20"/>
          <w:szCs w:val="20"/>
          <w:color w:val="auto"/>
        </w:rPr>
      </w:pPr>
    </w:p>
    <w:p>
      <w:pPr>
        <w:ind w:left="1640" w:hanging="800"/>
        <w:spacing w:after="0"/>
        <w:tabs>
          <w:tab w:leader="none" w:pos="164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Plans shall comply with all applicable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4" w:name="page465"/>
    <w:bookmarkEnd w:id="46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NORTH CREEK PARKWAY CENTER</w:t>
      </w:r>
    </w:p>
    <w:p>
      <w:pPr>
        <w:spacing w:after="0" w:line="21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u w:val="single" w:color="auto"/>
          <w:color w:val="auto"/>
        </w:rPr>
        <w:t>FORM OF TENANT’S ESTOPPEL CERTIFICATE</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auto"/>
        </w:rPr>
        <w:t>The undersigned as Tenant under that certain Office Lease (the “Lease”) made and entered into as of ___________, 20___ by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between ________________________ as Landlord, and the undersigned as Tenant, for Premises on the floor(s) of the office building located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_____________________, ____________, Washington __________________, certifies as follows:</w:t>
      </w:r>
    </w:p>
    <w:p>
      <w:pPr>
        <w:spacing w:after="0" w:line="194" w:lineRule="exact"/>
        <w:rPr>
          <w:sz w:val="20"/>
          <w:szCs w:val="20"/>
          <w:color w:val="auto"/>
        </w:rPr>
      </w:pPr>
    </w:p>
    <w:p>
      <w:pPr>
        <w:ind w:firstLine="840"/>
        <w:spacing w:after="0" w:line="269" w:lineRule="auto"/>
        <w:tabs>
          <w:tab w:leader="none" w:pos="1628"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 a true and correct copy of the Lease and all amendments and modifications thereto. The documents contained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represent the entire agreement between the parties as to the Premises.</w:t>
      </w:r>
    </w:p>
    <w:p>
      <w:pPr>
        <w:spacing w:after="0" w:line="159" w:lineRule="exact"/>
        <w:rPr>
          <w:rFonts w:ascii="Times New Roman" w:cs="Times New Roman" w:eastAsia="Times New Roman" w:hAnsi="Times New Roman"/>
          <w:sz w:val="20"/>
          <w:szCs w:val="20"/>
          <w:color w:val="auto"/>
        </w:rPr>
      </w:pPr>
    </w:p>
    <w:p>
      <w:pPr>
        <w:jc w:val="both"/>
        <w:ind w:firstLine="840"/>
        <w:spacing w:after="0" w:line="249" w:lineRule="auto"/>
        <w:tabs>
          <w:tab w:leader="none" w:pos="1628"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undersigned has accepted possession of and currently occupies the Premises described in the Lease, the Lease Term commenced on </w:t>
      </w:r>
      <w:r>
        <w:rPr>
          <w:rFonts w:ascii="Times New Roman" w:cs="Times New Roman" w:eastAsia="Times New Roman" w:hAnsi="Times New Roman"/>
          <w:sz w:val="20"/>
          <w:szCs w:val="20"/>
          <w:u w:val="single" w:color="auto"/>
          <w:color w:val="auto"/>
        </w:rPr>
        <w:t>_________________</w:t>
      </w:r>
      <w:r>
        <w:rPr>
          <w:rFonts w:ascii="Times New Roman" w:cs="Times New Roman" w:eastAsia="Times New Roman" w:hAnsi="Times New Roman"/>
          <w:sz w:val="20"/>
          <w:szCs w:val="20"/>
          <w:color w:val="auto"/>
        </w:rPr>
        <w:t>, and the Lease Term expires on ______________________, and the undersigned has no option to terminate or cancel the Lease or option or other preferential right to purchase all or any part of the Premises, the Building and/or the Project except: _____________. The rentable area of the Premises is ___________ square feet.</w:t>
      </w:r>
    </w:p>
    <w:p>
      <w:pPr>
        <w:spacing w:after="0" w:line="179" w:lineRule="exact"/>
        <w:rPr>
          <w:rFonts w:ascii="Times New Roman" w:cs="Times New Roman" w:eastAsia="Times New Roman" w:hAnsi="Times New Roman"/>
          <w:sz w:val="20"/>
          <w:szCs w:val="20"/>
          <w:color w:val="auto"/>
        </w:rPr>
      </w:pPr>
    </w:p>
    <w:p>
      <w:pPr>
        <w:ind w:left="1640" w:hanging="800"/>
        <w:spacing w:after="0"/>
        <w:tabs>
          <w:tab w:leader="none" w:pos="164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Rent became payable on ________________.</w:t>
      </w:r>
    </w:p>
    <w:p>
      <w:pPr>
        <w:spacing w:after="0" w:line="215" w:lineRule="exact"/>
        <w:rPr>
          <w:rFonts w:ascii="Times New Roman" w:cs="Times New Roman" w:eastAsia="Times New Roman" w:hAnsi="Times New Roman"/>
          <w:sz w:val="20"/>
          <w:szCs w:val="20"/>
          <w:color w:val="auto"/>
        </w:rPr>
      </w:pPr>
    </w:p>
    <w:p>
      <w:pPr>
        <w:ind w:right="20" w:firstLine="840"/>
        <w:spacing w:after="0" w:line="269" w:lineRule="auto"/>
        <w:tabs>
          <w:tab w:leader="none" w:pos="1628"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Lease is in full force and effect and has not been modified, supplemented or amended in any way except as provided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and that the obligations of Tenant thereunder are valid and binding.</w:t>
      </w:r>
    </w:p>
    <w:p>
      <w:pPr>
        <w:spacing w:after="0" w:line="159" w:lineRule="exact"/>
        <w:rPr>
          <w:rFonts w:ascii="Times New Roman" w:cs="Times New Roman" w:eastAsia="Times New Roman" w:hAnsi="Times New Roman"/>
          <w:sz w:val="20"/>
          <w:szCs w:val="20"/>
          <w:color w:val="auto"/>
        </w:rPr>
      </w:pPr>
    </w:p>
    <w:p>
      <w:pPr>
        <w:jc w:val="both"/>
        <w:ind w:firstLine="840"/>
        <w:spacing w:after="0" w:line="254" w:lineRule="auto"/>
        <w:tabs>
          <w:tab w:leader="none" w:pos="163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not transferred, assigned, or sublet any portion of the Premises nor entered into any license or concession agreements with respect thereto except as follows:_____________________. Tenant has received no notice, and is not otherwise aware of, any assignment of the Landlord’s interest in the Lease</w:t>
      </w:r>
    </w:p>
    <w:p>
      <w:pPr>
        <w:spacing w:after="0" w:line="174" w:lineRule="exact"/>
        <w:rPr>
          <w:rFonts w:ascii="Times New Roman" w:cs="Times New Roman" w:eastAsia="Times New Roman" w:hAnsi="Times New Roman"/>
          <w:sz w:val="20"/>
          <w:szCs w:val="20"/>
          <w:color w:val="auto"/>
        </w:rPr>
      </w:pPr>
    </w:p>
    <w:p>
      <w:pPr>
        <w:ind w:left="1640" w:hanging="800"/>
        <w:spacing w:after="0"/>
        <w:tabs>
          <w:tab w:leader="none" w:pos="164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shall not modify the documents contained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without the prior written consent of Landlord’s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mortgagee.</w:t>
      </w:r>
    </w:p>
    <w:p>
      <w:pPr>
        <w:spacing w:after="0" w:line="193" w:lineRule="exact"/>
        <w:rPr>
          <w:rFonts w:ascii="Times New Roman" w:cs="Times New Roman" w:eastAsia="Times New Roman" w:hAnsi="Times New Roman"/>
          <w:sz w:val="20"/>
          <w:szCs w:val="20"/>
          <w:color w:val="auto"/>
        </w:rPr>
      </w:pPr>
    </w:p>
    <w:p>
      <w:pPr>
        <w:ind w:right="20" w:firstLine="840"/>
        <w:spacing w:after="0" w:line="269" w:lineRule="auto"/>
        <w:tabs>
          <w:tab w:leader="none" w:pos="1638"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monthly installments of Base Rent, all Additional Rent and all monthly installments of estimated Additional Rent have been paid when due through ____________________. The current monthly installment of Base Rent is $________.</w:t>
      </w:r>
    </w:p>
    <w:p>
      <w:pPr>
        <w:spacing w:after="0" w:line="159" w:lineRule="exact"/>
        <w:rPr>
          <w:rFonts w:ascii="Times New Roman" w:cs="Times New Roman" w:eastAsia="Times New Roman" w:hAnsi="Times New Roman"/>
          <w:sz w:val="20"/>
          <w:szCs w:val="20"/>
          <w:color w:val="auto"/>
        </w:rPr>
      </w:pPr>
    </w:p>
    <w:p>
      <w:pPr>
        <w:jc w:val="both"/>
        <w:ind w:firstLine="840"/>
        <w:spacing w:after="0" w:line="249" w:lineRule="auto"/>
        <w:tabs>
          <w:tab w:leader="none" w:pos="1628"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conditions of the Lease to be performed by Landlord necessary to the enforceability of the Lease have been satisfied and there exists no breach, default, or event or condition which, with the giving of notice or the passage of time or both, would constitute a breach or default under the Lease either by Tenant or Landlord. In addition, the undersigned has not delivered any notice to Landlord regarding a default by Landlord thereunder.</w:t>
      </w:r>
    </w:p>
    <w:p>
      <w:pPr>
        <w:spacing w:after="0" w:line="179" w:lineRule="exact"/>
        <w:rPr>
          <w:rFonts w:ascii="Times New Roman" w:cs="Times New Roman" w:eastAsia="Times New Roman" w:hAnsi="Times New Roman"/>
          <w:sz w:val="20"/>
          <w:szCs w:val="20"/>
          <w:color w:val="auto"/>
        </w:rPr>
      </w:pPr>
    </w:p>
    <w:p>
      <w:pPr>
        <w:ind w:firstLine="840"/>
        <w:spacing w:after="0" w:line="269" w:lineRule="auto"/>
        <w:tabs>
          <w:tab w:leader="none" w:pos="1628"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rental has been paid more than thirty (30) days in advance and no security has been deposited with Landlord except as provided in the Lease.</w:t>
      </w:r>
    </w:p>
    <w:p>
      <w:pPr>
        <w:spacing w:after="0" w:line="159" w:lineRule="exact"/>
        <w:rPr>
          <w:rFonts w:ascii="Times New Roman" w:cs="Times New Roman" w:eastAsia="Times New Roman" w:hAnsi="Times New Roman"/>
          <w:sz w:val="20"/>
          <w:szCs w:val="20"/>
          <w:color w:val="auto"/>
        </w:rPr>
      </w:pPr>
    </w:p>
    <w:p>
      <w:pPr>
        <w:ind w:firstLine="840"/>
        <w:spacing w:after="0" w:line="269" w:lineRule="auto"/>
        <w:tabs>
          <w:tab w:leader="none" w:pos="1727"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there are no existing defenses or offsets, or, to the undersigned’s knowledge, claims or any basis for a claim, that the undersigned has against Landlord.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65" w:name="page466"/>
    <w:bookmarkEnd w:id="465"/>
    <w:p>
      <w:pPr>
        <w:jc w:val="both"/>
        <w:ind w:firstLine="840"/>
        <w:spacing w:after="0" w:line="249" w:lineRule="auto"/>
        <w:tabs>
          <w:tab w:leader="none" w:pos="172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is a corporation, partnership or other entity, each individual executing this Estoppel Certificate on behalf of Tenant hereby represents and warrants that Tenant is a duly formed and existing entity qualified to do business in Washington and that Tenant has full right and authority to execute and deliver this Estoppel Certificate and that each person signing on behalf of Tenant is authorized to do so.</w:t>
      </w:r>
    </w:p>
    <w:p>
      <w:pPr>
        <w:spacing w:after="0" w:line="179" w:lineRule="exact"/>
        <w:rPr>
          <w:rFonts w:ascii="Times New Roman" w:cs="Times New Roman" w:eastAsia="Times New Roman" w:hAnsi="Times New Roman"/>
          <w:sz w:val="20"/>
          <w:szCs w:val="20"/>
          <w:color w:val="auto"/>
        </w:rPr>
      </w:pPr>
    </w:p>
    <w:p>
      <w:pPr>
        <w:ind w:left="1740" w:hanging="900"/>
        <w:spacing w:after="0"/>
        <w:tabs>
          <w:tab w:leader="none" w:pos="174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pending against the undersigned under the bankruptcy or similar laws of the United States or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w:t>
      </w:r>
    </w:p>
    <w:p>
      <w:pPr>
        <w:spacing w:after="0" w:line="193" w:lineRule="exact"/>
        <w:rPr>
          <w:rFonts w:ascii="Times New Roman" w:cs="Times New Roman" w:eastAsia="Times New Roman" w:hAnsi="Times New Roman"/>
          <w:sz w:val="20"/>
          <w:szCs w:val="20"/>
          <w:color w:val="auto"/>
        </w:rPr>
      </w:pPr>
    </w:p>
    <w:p>
      <w:pPr>
        <w:ind w:firstLine="840"/>
        <w:spacing w:after="0" w:line="269" w:lineRule="auto"/>
        <w:tabs>
          <w:tab w:leader="none" w:pos="1727"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compliance with all applicable laws and incidental to the ordinary course of the use of the Premises, the undersigned has not used or stored any hazardous substances in the Premises.</w:t>
      </w:r>
    </w:p>
    <w:p>
      <w:pPr>
        <w:spacing w:after="0" w:line="159" w:lineRule="exact"/>
        <w:rPr>
          <w:rFonts w:ascii="Times New Roman" w:cs="Times New Roman" w:eastAsia="Times New Roman" w:hAnsi="Times New Roman"/>
          <w:sz w:val="20"/>
          <w:szCs w:val="20"/>
          <w:color w:val="auto"/>
        </w:rPr>
      </w:pPr>
    </w:p>
    <w:p>
      <w:pPr>
        <w:jc w:val="both"/>
        <w:ind w:firstLine="840"/>
        <w:spacing w:after="0" w:line="254" w:lineRule="auto"/>
        <w:tabs>
          <w:tab w:leader="none" w:pos="1725"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undersigned’s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spacing w:after="0" w:line="174" w:lineRule="exact"/>
        <w:rPr>
          <w:sz w:val="20"/>
          <w:szCs w:val="20"/>
          <w:color w:val="auto"/>
        </w:rPr>
      </w:pPr>
    </w:p>
    <w:p>
      <w:pPr>
        <w:jc w:val="both"/>
        <w:ind w:firstLine="832"/>
        <w:spacing w:after="0" w:line="243" w:lineRule="auto"/>
        <w:rPr>
          <w:sz w:val="20"/>
          <w:szCs w:val="20"/>
          <w:color w:val="auto"/>
        </w:rPr>
      </w:pPr>
      <w:r>
        <w:rPr>
          <w:rFonts w:ascii="Times New Roman" w:cs="Times New Roman" w:eastAsia="Times New Roman" w:hAnsi="Times New Roman"/>
          <w:sz w:val="20"/>
          <w:szCs w:val="20"/>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 The covenants herein shall be binding upon, and inure to the benefit of, the heirs, successors and assigns of the parties hereto. If any legal action or proceeding is commenced between Tenant and such prospective mortgagee or purchaser regarding their respective rights and obligations under this Estoppel Certificate, the prevailing party shall be entitled to recover, in addition to damages or other relief, all costs and expenses, attorneys’ fees and court costs (including, without limitation, expert witness fees). A prospective mortgagee’s or purchaser’s acceptance of this Estoppel Certificate shall constitute such prospective mortgagee’s or purchaser’s agreement to be bound hereby.</w:t>
      </w:r>
    </w:p>
    <w:p>
      <w:pPr>
        <w:spacing w:after="0" w:line="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Executed at _____________ on the ____ day of _____________, 20___.</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“Tenant”:</w:t>
      </w:r>
    </w:p>
    <w:p>
      <w:pPr>
        <w:spacing w:after="0" w:line="243"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-10795</wp:posOffset>
            </wp:positionV>
            <wp:extent cx="254444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6">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13335</wp:posOffset>
            </wp:positionV>
            <wp:extent cx="332613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21590</wp:posOffset>
            </wp:positionV>
            <wp:extent cx="30429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8">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-140335</wp:posOffset>
            </wp:positionV>
            <wp:extent cx="332613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4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21590</wp:posOffset>
            </wp:positionV>
            <wp:extent cx="30429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0">
                      <a:extLst>
                        <a:ext uri="{28A0092B-C50C-407E-A947-70E740481C1C}"/>
                      </a:extLst>
                    </a:blip>
                    <a:srcRect/>
                    <a:stretch>
                      <a:fillRect/>
                    </a:stretch>
                  </pic:blipFill>
                  <pic:spPr bwMode="auto">
                    <a:xfrm>
                      <a:off x="0" y="0"/>
                      <a:ext cx="304292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-140335</wp:posOffset>
            </wp:positionV>
            <wp:extent cx="332613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6" w:name="page467"/>
    <w:bookmarkEnd w:id="46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pacing w:after="0" w:line="3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NORTH CREEK PARKWAY CENTER</w:t>
      </w:r>
    </w:p>
    <w:p>
      <w:pPr>
        <w:spacing w:after="0" w:line="21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0"/>
          <w:szCs w:val="20"/>
          <w:b w:val="1"/>
          <w:bCs w:val="1"/>
          <w:u w:val="single" w:color="auto"/>
          <w:color w:val="auto"/>
        </w:rPr>
        <w:t>RULES AND REGULATIONS</w:t>
      </w:r>
    </w:p>
    <w:p>
      <w:pPr>
        <w:spacing w:after="0" w:line="220" w:lineRule="exact"/>
        <w:rPr>
          <w:sz w:val="20"/>
          <w:szCs w:val="20"/>
          <w:color w:val="auto"/>
        </w:rPr>
      </w:pPr>
    </w:p>
    <w:p>
      <w:pPr>
        <w:jc w:val="both"/>
        <w:ind w:firstLine="832"/>
        <w:spacing w:after="0" w:line="249" w:lineRule="auto"/>
        <w:rPr>
          <w:sz w:val="20"/>
          <w:szCs w:val="20"/>
          <w:color w:val="auto"/>
        </w:rPr>
      </w:pPr>
      <w:r>
        <w:rPr>
          <w:rFonts w:ascii="Times New Roman" w:cs="Times New Roman" w:eastAsia="Times New Roman" w:hAnsi="Times New Roman"/>
          <w:sz w:val="20"/>
          <w:szCs w:val="20"/>
          <w:color w:val="auto"/>
        </w:rPr>
        <w:t>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180" w:lineRule="exact"/>
        <w:rPr>
          <w:sz w:val="20"/>
          <w:szCs w:val="20"/>
          <w:color w:val="auto"/>
        </w:rPr>
      </w:pPr>
    </w:p>
    <w:p>
      <w:pPr>
        <w:jc w:val="both"/>
        <w:ind w:firstLine="840"/>
        <w:spacing w:after="0" w:line="260" w:lineRule="auto"/>
        <w:tabs>
          <w:tab w:leader="none" w:pos="1628"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shall not alter any lock or install any new or additional locks or bolts on any doors or windows of the Premises without obtaining 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172" w:lineRule="exact"/>
        <w:rPr>
          <w:rFonts w:ascii="Times New Roman" w:cs="Times New Roman" w:eastAsia="Times New Roman" w:hAnsi="Times New Roman"/>
          <w:sz w:val="19"/>
          <w:szCs w:val="19"/>
          <w:color w:val="auto"/>
        </w:rPr>
      </w:pPr>
    </w:p>
    <w:p>
      <w:pPr>
        <w:ind w:left="1640" w:hanging="800"/>
        <w:spacing w:after="0"/>
        <w:tabs>
          <w:tab w:leader="none" w:pos="164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doors opening to public corridors shall be kept closed at all times except for normal ingress and egress to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Premises.</w:t>
      </w:r>
    </w:p>
    <w:p>
      <w:pPr>
        <w:spacing w:after="0" w:line="193" w:lineRule="exact"/>
        <w:rPr>
          <w:rFonts w:ascii="Times New Roman" w:cs="Times New Roman" w:eastAsia="Times New Roman" w:hAnsi="Times New Roman"/>
          <w:sz w:val="20"/>
          <w:szCs w:val="20"/>
          <w:color w:val="auto"/>
        </w:rPr>
      </w:pPr>
    </w:p>
    <w:p>
      <w:pPr>
        <w:jc w:val="both"/>
        <w:ind w:firstLine="840"/>
        <w:spacing w:after="0" w:line="242" w:lineRule="auto"/>
        <w:tabs>
          <w:tab w:leader="none" w:pos="1625"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reserves the right to close and keep locked all entrance and exit doors of the Building during such hours as are customary for comparable buildings in the Bothell, Washington area.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Access to the Building may be refused unless the person seeking access has proper identification or has a previously arranged pass for access to the Building. Landlord will furnish passes to persons for whom Tenant requests same in writing. Tenant shall be responsible for all persons for whom Tenant requests passes and shall be liable to Landlord for all acts of such persons. The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pacing w:after="0" w:line="189" w:lineRule="exact"/>
        <w:rPr>
          <w:rFonts w:ascii="Times New Roman" w:cs="Times New Roman" w:eastAsia="Times New Roman" w:hAnsi="Times New Roman"/>
          <w:sz w:val="20"/>
          <w:szCs w:val="20"/>
          <w:color w:val="auto"/>
        </w:rPr>
      </w:pPr>
    </w:p>
    <w:p>
      <w:pPr>
        <w:jc w:val="both"/>
        <w:ind w:firstLine="840"/>
        <w:spacing w:after="0" w:line="244" w:lineRule="auto"/>
        <w:tabs>
          <w:tab w:leader="none" w:pos="1628"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furniture, freight or equipment of any kind shall be brought into the Building without prior notice to Landlord. All moving activity into or out of the Building shall be scheduled with Landlord and done only at such time and in such manner as Landlord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67" w:name="page468"/>
    <w:bookmarkEnd w:id="467"/>
    <w:p>
      <w:pPr>
        <w:ind w:firstLine="840"/>
        <w:spacing w:after="0" w:line="269" w:lineRule="auto"/>
        <w:tabs>
          <w:tab w:leader="none" w:pos="1628"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furniture, packages, supplies, equipment or merchandise will be received in the Building or carried up or down in the elevators, except between such hours, in such specific elevator and by such personnel as shall be designated by Landlord.</w:t>
      </w:r>
    </w:p>
    <w:p>
      <w:pPr>
        <w:spacing w:after="0" w:line="159" w:lineRule="exact"/>
        <w:rPr>
          <w:rFonts w:ascii="Times New Roman" w:cs="Times New Roman" w:eastAsia="Times New Roman" w:hAnsi="Times New Roman"/>
          <w:sz w:val="20"/>
          <w:szCs w:val="20"/>
          <w:color w:val="auto"/>
        </w:rPr>
      </w:pPr>
    </w:p>
    <w:p>
      <w:pPr>
        <w:jc w:val="both"/>
        <w:ind w:firstLine="840"/>
        <w:spacing w:after="0" w:line="254" w:lineRule="auto"/>
        <w:tabs>
          <w:tab w:leader="none" w:pos="1628"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74" w:lineRule="exact"/>
        <w:rPr>
          <w:rFonts w:ascii="Times New Roman" w:cs="Times New Roman" w:eastAsia="Times New Roman" w:hAnsi="Times New Roman"/>
          <w:sz w:val="20"/>
          <w:szCs w:val="20"/>
          <w:color w:val="auto"/>
        </w:rPr>
      </w:pPr>
    </w:p>
    <w:p>
      <w:pPr>
        <w:jc w:val="both"/>
        <w:ind w:firstLine="840"/>
        <w:spacing w:after="0" w:line="254" w:lineRule="auto"/>
        <w:tabs>
          <w:tab w:leader="none" w:pos="1625"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sign, advertisement, notice or handbill shall be exhibited, distributed, painted or affixed by Tenant on any part of the Premises or the Building without the prior written consent of the Landlord. Tenant shall not disturb, solicit, peddle, or canvass any occupant of the Project and shall cooperate with Landlord and its agents of Landlord to prevent same.</w:t>
      </w:r>
    </w:p>
    <w:p>
      <w:pPr>
        <w:spacing w:after="0" w:line="174" w:lineRule="exact"/>
        <w:rPr>
          <w:rFonts w:ascii="Times New Roman" w:cs="Times New Roman" w:eastAsia="Times New Roman" w:hAnsi="Times New Roman"/>
          <w:sz w:val="20"/>
          <w:szCs w:val="20"/>
          <w:color w:val="auto"/>
        </w:rPr>
      </w:pPr>
    </w:p>
    <w:p>
      <w:pPr>
        <w:jc w:val="both"/>
        <w:ind w:firstLine="840"/>
        <w:spacing w:after="0" w:line="249" w:lineRule="auto"/>
        <w:tabs>
          <w:tab w:leader="none" w:pos="1628"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179" w:lineRule="exact"/>
        <w:rPr>
          <w:rFonts w:ascii="Times New Roman" w:cs="Times New Roman" w:eastAsia="Times New Roman" w:hAnsi="Times New Roman"/>
          <w:sz w:val="20"/>
          <w:szCs w:val="20"/>
          <w:color w:val="auto"/>
        </w:rPr>
      </w:pPr>
    </w:p>
    <w:p>
      <w:pPr>
        <w:jc w:val="both"/>
        <w:ind w:firstLine="840"/>
        <w:spacing w:after="0" w:line="254" w:lineRule="auto"/>
        <w:tabs>
          <w:tab w:leader="none" w:pos="1628"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overload the floor of the Premises, nor mark, drive nails or screws, or drill into the partitions, woodwork or drywall or in any way deface the Premises or any part thereof without Landlord’s prior written consent. Tenant shall not purchase spring water, ice, towel, linen, maintenance or other like services from any person or persons not approved by Landlord.</w:t>
      </w:r>
    </w:p>
    <w:p>
      <w:pPr>
        <w:spacing w:after="0" w:line="174" w:lineRule="exact"/>
        <w:rPr>
          <w:rFonts w:ascii="Times New Roman" w:cs="Times New Roman" w:eastAsia="Times New Roman" w:hAnsi="Times New Roman"/>
          <w:sz w:val="20"/>
          <w:szCs w:val="20"/>
          <w:color w:val="auto"/>
        </w:rPr>
      </w:pPr>
    </w:p>
    <w:p>
      <w:pPr>
        <w:jc w:val="both"/>
        <w:ind w:firstLine="840"/>
        <w:spacing w:after="0" w:line="254" w:lineRule="auto"/>
        <w:tabs>
          <w:tab w:leader="none" w:pos="1727"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vending machines intended for the sole use of Tenant’s employees and invitees, no vending machine or machines other than fractional horsepower office machines shall be installed, maintained or operated upon the Premises without the written consent of Landlord.</w:t>
      </w:r>
    </w:p>
    <w:p>
      <w:pPr>
        <w:spacing w:after="0" w:line="174" w:lineRule="exact"/>
        <w:rPr>
          <w:rFonts w:ascii="Times New Roman" w:cs="Times New Roman" w:eastAsia="Times New Roman" w:hAnsi="Times New Roman"/>
          <w:sz w:val="20"/>
          <w:szCs w:val="20"/>
          <w:color w:val="auto"/>
        </w:rPr>
      </w:pPr>
    </w:p>
    <w:p>
      <w:pPr>
        <w:jc w:val="both"/>
        <w:ind w:firstLine="840"/>
        <w:spacing w:after="0" w:line="254" w:lineRule="auto"/>
        <w:tabs>
          <w:tab w:leader="none" w:pos="172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use or keep in or on the Premises, the Building, or the Project any kerosene, gasoline, explosive material, corrosive material, material capable of emitting toxic fumes, or other inflammable or combustible fluid chemical, substitute or material. Tenant shall provide material safety data sheets for any Hazardous Material used or kept on the Premises.</w:t>
      </w:r>
    </w:p>
    <w:p>
      <w:pPr>
        <w:spacing w:after="0" w:line="174" w:lineRule="exact"/>
        <w:rPr>
          <w:rFonts w:ascii="Times New Roman" w:cs="Times New Roman" w:eastAsia="Times New Roman" w:hAnsi="Times New Roman"/>
          <w:sz w:val="20"/>
          <w:szCs w:val="20"/>
          <w:color w:val="auto"/>
        </w:rPr>
      </w:pPr>
    </w:p>
    <w:p>
      <w:pPr>
        <w:ind w:right="20" w:firstLine="840"/>
        <w:spacing w:after="0" w:line="269" w:lineRule="auto"/>
        <w:tabs>
          <w:tab w:leader="none" w:pos="1727"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without the prior written consent of Landlord use any method of heating or air conditioning other than that supplied by Landlord.</w:t>
      </w:r>
    </w:p>
    <w:p>
      <w:pPr>
        <w:spacing w:after="0" w:line="159" w:lineRule="exact"/>
        <w:rPr>
          <w:rFonts w:ascii="Times New Roman" w:cs="Times New Roman" w:eastAsia="Times New Roman" w:hAnsi="Times New Roman"/>
          <w:sz w:val="20"/>
          <w:szCs w:val="20"/>
          <w:color w:val="auto"/>
        </w:rPr>
      </w:pPr>
    </w:p>
    <w:p>
      <w:pPr>
        <w:jc w:val="both"/>
        <w:ind w:firstLine="840"/>
        <w:spacing w:after="0" w:line="246" w:lineRule="auto"/>
        <w:tabs>
          <w:tab w:leader="none" w:pos="1727"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use, keep or permit to be used or kept, any foul or noxious gas or substance in or on the Premises, or permit or allow the Premises to be occupied or used in a manner offensive or objectionable to Landlord or other occupants of the Project by reason of noise, odors, or vibrations, or interfere with other tenants or those having business therein, whether by the use of any musical instrument, radio, phonograph, or in any other way. Tenant shall not throw anything out of doors, windows or skylights or down passageways.</w:t>
      </w:r>
    </w:p>
    <w:p>
      <w:pPr>
        <w:spacing w:after="0" w:line="184" w:lineRule="exact"/>
        <w:rPr>
          <w:rFonts w:ascii="Times New Roman" w:cs="Times New Roman" w:eastAsia="Times New Roman" w:hAnsi="Times New Roman"/>
          <w:sz w:val="20"/>
          <w:szCs w:val="20"/>
          <w:color w:val="auto"/>
        </w:rPr>
      </w:pPr>
    </w:p>
    <w:p>
      <w:pPr>
        <w:ind w:firstLine="840"/>
        <w:spacing w:after="0" w:line="269" w:lineRule="auto"/>
        <w:tabs>
          <w:tab w:leader="none" w:pos="1727"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bring into or keep within the Project, the Building or the Premises any firearms, animals, birds, aquariums, or, except in areas designated by Landlord, bicycles or other vehicles.</w:t>
      </w:r>
    </w:p>
    <w:p>
      <w:pPr>
        <w:spacing w:after="0" w:line="159" w:lineRule="exact"/>
        <w:rPr>
          <w:rFonts w:ascii="Times New Roman" w:cs="Times New Roman" w:eastAsia="Times New Roman" w:hAnsi="Times New Roman"/>
          <w:sz w:val="20"/>
          <w:szCs w:val="20"/>
          <w:color w:val="auto"/>
        </w:rPr>
      </w:pPr>
    </w:p>
    <w:p>
      <w:pPr>
        <w:jc w:val="both"/>
        <w:ind w:firstLine="840"/>
        <w:spacing w:after="0" w:line="249" w:lineRule="auto"/>
        <w:tabs>
          <w:tab w:leader="none" w:pos="1727"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cooking shall be done or permitted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20"/>
          <w:szCs w:val="20"/>
          <w:color w:val="auto"/>
        </w:rPr>
        <w:t>provided that such use is in accordance with all applicable federal, state, county and city laws, codes, ordinances, rules and regulations.</w:t>
      </w:r>
    </w:p>
    <w:p>
      <w:pPr>
        <w:spacing w:after="0" w:line="216" w:lineRule="exact"/>
        <w:rPr>
          <w:sz w:val="20"/>
          <w:szCs w:val="20"/>
          <w:color w:val="auto"/>
        </w:rPr>
      </w:pPr>
    </w:p>
    <w:p>
      <w:pPr>
        <w:jc w:val="both"/>
        <w:ind w:firstLine="840"/>
        <w:spacing w:after="0" w:line="245" w:lineRule="auto"/>
        <w:tabs>
          <w:tab w:leader="none" w:pos="172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184" w:lineRule="exact"/>
        <w:rPr>
          <w:rFonts w:ascii="Times New Roman" w:cs="Times New Roman" w:eastAsia="Times New Roman" w:hAnsi="Times New Roman"/>
          <w:sz w:val="20"/>
          <w:szCs w:val="20"/>
          <w:color w:val="auto"/>
        </w:rPr>
      </w:pPr>
    </w:p>
    <w:p>
      <w:pPr>
        <w:jc w:val="both"/>
        <w:ind w:firstLine="840"/>
        <w:spacing w:after="0" w:line="254" w:lineRule="auto"/>
        <w:tabs>
          <w:tab w:leader="none" w:pos="172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reserves the right to exclude or expel from the Project any person who, in the judgment of Landlord, is intoxicated or under the influence of liquor or drugs, or who shall in any manner do any act in violation of any of these Rules and Regulations.</w:t>
      </w:r>
    </w:p>
    <w:p>
      <w:pPr>
        <w:spacing w:after="0" w:line="174" w:lineRule="exact"/>
        <w:rPr>
          <w:rFonts w:ascii="Times New Roman" w:cs="Times New Roman" w:eastAsia="Times New Roman" w:hAnsi="Times New Roman"/>
          <w:sz w:val="20"/>
          <w:szCs w:val="20"/>
          <w:color w:val="auto"/>
        </w:rPr>
      </w:pPr>
    </w:p>
    <w:p>
      <w:pPr>
        <w:jc w:val="both"/>
        <w:ind w:firstLine="840"/>
        <w:spacing w:after="0" w:line="246" w:lineRule="auto"/>
        <w:tabs>
          <w:tab w:leader="none" w:pos="172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 Furthermore, in no event shall Tenant, its employees or agents smoke tobacco products within the Building or within seventy-five feet (75’) of any entrance into the Building or into any other Project building.</w:t>
      </w:r>
    </w:p>
    <w:p>
      <w:pPr>
        <w:spacing w:after="0" w:line="184" w:lineRule="exact"/>
        <w:rPr>
          <w:rFonts w:ascii="Times New Roman" w:cs="Times New Roman" w:eastAsia="Times New Roman" w:hAnsi="Times New Roman"/>
          <w:sz w:val="20"/>
          <w:szCs w:val="20"/>
          <w:color w:val="auto"/>
        </w:rPr>
      </w:pPr>
    </w:p>
    <w:p>
      <w:pPr>
        <w:jc w:val="both"/>
        <w:ind w:firstLine="840"/>
        <w:spacing w:after="0" w:line="254" w:lineRule="auto"/>
        <w:tabs>
          <w:tab w:leader="none" w:pos="172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waste electricity, water or air conditioning and agrees to cooperate fully with Landlord to ensure the most effective operation of the Building’s heating and air conditioning system, and shall refrain from attempting to adjust any controls. Tenant shall participate in recycling programs undertaken by Landlord.</w:t>
      </w:r>
    </w:p>
    <w:p>
      <w:pPr>
        <w:spacing w:after="0" w:line="174" w:lineRule="exact"/>
        <w:rPr>
          <w:rFonts w:ascii="Times New Roman" w:cs="Times New Roman" w:eastAsia="Times New Roman" w:hAnsi="Times New Roman"/>
          <w:sz w:val="20"/>
          <w:szCs w:val="20"/>
          <w:color w:val="auto"/>
        </w:rPr>
      </w:pPr>
    </w:p>
    <w:p>
      <w:pPr>
        <w:jc w:val="both"/>
        <w:ind w:firstLine="840"/>
        <w:spacing w:after="0" w:line="259" w:lineRule="auto"/>
        <w:tabs>
          <w:tab w:leader="none" w:pos="1719" w:val="left"/>
        </w:tabs>
        <w:numPr>
          <w:ilvl w:val="0"/>
          <w:numId w:val="3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Bothell, Washington without violation of any law or ordinance governing such disposal. All trash, garbage and refuse disposal shall be made only through entry-ways and elevators provided for such purposes at such times as Landlord shall designate. If the Premises is or becomes infested with vermin as a result of the use or any misuse or neglect of the Premises by Tenant, its agents, servants, employees, contractors, visitors or licensees, Tenant shall forthwith, at Tenant’s expense, cause the Premises to be exterminated from time to time to the satisfaction of Landlord and shall employ such licensed exterminators as shall be approved in writing in advance by Landlord.</w:t>
      </w:r>
    </w:p>
    <w:p>
      <w:pPr>
        <w:spacing w:after="0" w:line="172" w:lineRule="exact"/>
        <w:rPr>
          <w:rFonts w:ascii="Times New Roman" w:cs="Times New Roman" w:eastAsia="Times New Roman" w:hAnsi="Times New Roman"/>
          <w:sz w:val="19"/>
          <w:szCs w:val="19"/>
          <w:color w:val="auto"/>
        </w:rPr>
      </w:pPr>
    </w:p>
    <w:p>
      <w:pPr>
        <w:ind w:right="20" w:firstLine="840"/>
        <w:spacing w:after="0" w:line="269" w:lineRule="auto"/>
        <w:tabs>
          <w:tab w:leader="none" w:pos="172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comply with all safety, fire protection and evacuation procedures and regulations established by Landlord or any governmental agency.</w:t>
      </w:r>
    </w:p>
    <w:p>
      <w:pPr>
        <w:spacing w:after="0" w:line="159" w:lineRule="exact"/>
        <w:rPr>
          <w:rFonts w:ascii="Times New Roman" w:cs="Times New Roman" w:eastAsia="Times New Roman" w:hAnsi="Times New Roman"/>
          <w:sz w:val="20"/>
          <w:szCs w:val="20"/>
          <w:color w:val="auto"/>
        </w:rPr>
      </w:pPr>
    </w:p>
    <w:p>
      <w:pPr>
        <w:jc w:val="both"/>
        <w:ind w:right="20" w:firstLine="840"/>
        <w:spacing w:after="0" w:line="254" w:lineRule="auto"/>
        <w:tabs>
          <w:tab w:leader="none" w:pos="172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persons employed by Tenant to do janitorial work shall be subject to the prior written approval of Landlord, and while in the Building and outside of the Premises, shall be subject to and under the control and direction of the Building manager (but not as an agent or servant of such manager or of Landlord), and Tenant shall be responsible for all acts of. such persons</w:t>
      </w:r>
    </w:p>
    <w:p>
      <w:pPr>
        <w:spacing w:after="0" w:line="174" w:lineRule="exact"/>
        <w:rPr>
          <w:rFonts w:ascii="Times New Roman" w:cs="Times New Roman" w:eastAsia="Times New Roman" w:hAnsi="Times New Roman"/>
          <w:sz w:val="20"/>
          <w:szCs w:val="20"/>
          <w:color w:val="auto"/>
        </w:rPr>
      </w:pPr>
    </w:p>
    <w:p>
      <w:pPr>
        <w:jc w:val="both"/>
        <w:ind w:firstLine="840"/>
        <w:spacing w:after="0" w:line="254" w:lineRule="auto"/>
        <w:tabs>
          <w:tab w:leader="none" w:pos="172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9" w:name="page470"/>
    <w:bookmarkEnd w:id="469"/>
    <w:p>
      <w:pPr>
        <w:jc w:val="both"/>
        <w:spacing w:after="0" w:line="243" w:lineRule="auto"/>
        <w:rPr>
          <w:sz w:val="20"/>
          <w:szCs w:val="20"/>
          <w:color w:val="auto"/>
        </w:rPr>
      </w:pPr>
      <w:r>
        <w:rPr>
          <w:rFonts w:ascii="Times New Roman" w:cs="Times New Roman" w:eastAsia="Times New Roman" w:hAnsi="Times New Roman"/>
          <w:sz w:val="20"/>
          <w:szCs w:val="20"/>
          <w:color w:val="auto"/>
        </w:rPr>
        <w:t>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be responsible for any damage to the window film on the exterior windows of the Premises and shall promptly repair any such damage at Tenant’s sole cost and expense. Tenant shall keep its window coverings closed during any period of the day when the sun is shining directly on the windows of the Premises. Prior to leaving the Premises for the day, Tenant shall draw or lower window coverings and extinguish all lights. Tenant shall abide by Landlord’s regulations concerning the opening and closing of window coverings which are attached to the windows in the Premises, if any, which have a view of any interior portion of the Building or Common Areas.</w:t>
      </w:r>
    </w:p>
    <w:p>
      <w:pPr>
        <w:spacing w:after="0" w:line="189" w:lineRule="exact"/>
        <w:rPr>
          <w:sz w:val="20"/>
          <w:szCs w:val="20"/>
          <w:color w:val="auto"/>
        </w:rPr>
      </w:pPr>
    </w:p>
    <w:p>
      <w:pPr>
        <w:jc w:val="both"/>
        <w:ind w:firstLine="840"/>
        <w:spacing w:after="0" w:line="254" w:lineRule="auto"/>
        <w:tabs>
          <w:tab w:leader="none" w:pos="1727"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174" w:lineRule="exact"/>
        <w:rPr>
          <w:rFonts w:ascii="Times New Roman" w:cs="Times New Roman" w:eastAsia="Times New Roman" w:hAnsi="Times New Roman"/>
          <w:sz w:val="20"/>
          <w:szCs w:val="20"/>
          <w:color w:val="auto"/>
        </w:rPr>
      </w:pPr>
    </w:p>
    <w:p>
      <w:pPr>
        <w:ind w:left="1740" w:hanging="900"/>
        <w:spacing w:after="0"/>
        <w:tabs>
          <w:tab w:leader="none" w:pos="1740" w:val="left"/>
        </w:tabs>
        <w:numPr>
          <w:ilvl w:val="0"/>
          <w:numId w:val="3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must comply with requests by the Landlord concerning the informing of their employees of items of importance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the Landlord.</w:t>
      </w:r>
    </w:p>
    <w:p>
      <w:pPr>
        <w:spacing w:after="0" w:line="189" w:lineRule="exact"/>
        <w:rPr>
          <w:rFonts w:ascii="Times New Roman" w:cs="Times New Roman" w:eastAsia="Times New Roman" w:hAnsi="Times New Roman"/>
          <w:sz w:val="19"/>
          <w:szCs w:val="19"/>
          <w:color w:val="auto"/>
        </w:rPr>
      </w:pPr>
    </w:p>
    <w:p>
      <w:pPr>
        <w:jc w:val="both"/>
        <w:ind w:firstLine="840"/>
        <w:spacing w:after="0" w:line="245" w:lineRule="auto"/>
        <w:tabs>
          <w:tab w:leader="none" w:pos="1727"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must comply with any City of Bothell “</w:t>
      </w:r>
      <w:r>
        <w:rPr>
          <w:rFonts w:ascii="Times New Roman" w:cs="Times New Roman" w:eastAsia="Times New Roman" w:hAnsi="Times New Roman"/>
          <w:sz w:val="20"/>
          <w:szCs w:val="20"/>
          <w:b w:val="1"/>
          <w:bCs w:val="1"/>
          <w:color w:val="auto"/>
        </w:rPr>
        <w:t>NO-SMOKING</w:t>
      </w:r>
      <w:r>
        <w:rPr>
          <w:rFonts w:ascii="Times New Roman" w:cs="Times New Roman" w:eastAsia="Times New Roman" w:hAnsi="Times New Roman"/>
          <w:sz w:val="20"/>
          <w:szCs w:val="20"/>
          <w:color w:val="auto"/>
        </w:rPr>
        <w:t>” ordinances. If Tenant is required under the ordinance to adopt a written smoking policy, a copy of said policy shall be on file in the office of the Building. In addition, no smoking of any substance shall be permitted within the Project except in specifically designated outdoor areas. Within such designated outdoor areas, all remnants of consumed cigarettes and related paraphernalia shall be deposited in ash trays and/or waste receptacles. No cigarettes shall be extinguished and/or left on the ground or any other surface of the Project. Cigarettes shall be extinguished only in ashtrays. Furthermore, in no event shall Tenant, its employees or agents smoke tobacco products or other substances within any interior areas of the Project or within seventy-five feet (75’) of any entrance into the Building or into any other Project building.</w:t>
      </w:r>
    </w:p>
    <w:p>
      <w:pPr>
        <w:spacing w:after="0" w:line="183" w:lineRule="exact"/>
        <w:rPr>
          <w:rFonts w:ascii="Times New Roman" w:cs="Times New Roman" w:eastAsia="Times New Roman" w:hAnsi="Times New Roman"/>
          <w:sz w:val="20"/>
          <w:szCs w:val="20"/>
          <w:color w:val="auto"/>
        </w:rPr>
      </w:pPr>
    </w:p>
    <w:p>
      <w:pPr>
        <w:jc w:val="both"/>
        <w:ind w:firstLine="840"/>
        <w:spacing w:after="0" w:line="243" w:lineRule="auto"/>
        <w:tabs>
          <w:tab w:leader="none" w:pos="1727"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185" w:lineRule="exact"/>
        <w:rPr>
          <w:rFonts w:ascii="Times New Roman" w:cs="Times New Roman" w:eastAsia="Times New Roman" w:hAnsi="Times New Roman"/>
          <w:sz w:val="20"/>
          <w:szCs w:val="20"/>
          <w:color w:val="auto"/>
        </w:rPr>
      </w:pPr>
    </w:p>
    <w:p>
      <w:pPr>
        <w:ind w:firstLine="840"/>
        <w:spacing w:after="0" w:line="269" w:lineRule="auto"/>
        <w:tabs>
          <w:tab w:leader="none" w:pos="1727"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office equipment of any electrical or mechanical nature shall be placed by Tenant in the Premises in settings approved by Landlord, to absorb or prevent any vibration, noise and annoyance.</w:t>
      </w:r>
    </w:p>
    <w:p>
      <w:pPr>
        <w:spacing w:after="0" w:line="159" w:lineRule="exact"/>
        <w:rPr>
          <w:rFonts w:ascii="Times New Roman" w:cs="Times New Roman" w:eastAsia="Times New Roman" w:hAnsi="Times New Roman"/>
          <w:sz w:val="20"/>
          <w:szCs w:val="20"/>
          <w:color w:val="auto"/>
        </w:rPr>
      </w:pPr>
    </w:p>
    <w:p>
      <w:pPr>
        <w:ind w:firstLine="840"/>
        <w:spacing w:after="0" w:line="269" w:lineRule="auto"/>
        <w:tabs>
          <w:tab w:leader="none" w:pos="1727"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use in any space or in the public halls of the Building, any hand trucks except those equipped with rubber tires and rubber side guards.</w:t>
      </w:r>
    </w:p>
    <w:p>
      <w:pPr>
        <w:spacing w:after="0" w:line="159" w:lineRule="exact"/>
        <w:rPr>
          <w:rFonts w:ascii="Times New Roman" w:cs="Times New Roman" w:eastAsia="Times New Roman" w:hAnsi="Times New Roman"/>
          <w:sz w:val="20"/>
          <w:szCs w:val="20"/>
          <w:color w:val="auto"/>
        </w:rPr>
      </w:pPr>
    </w:p>
    <w:p>
      <w:pPr>
        <w:ind w:firstLine="840"/>
        <w:spacing w:after="0" w:line="269" w:lineRule="auto"/>
        <w:tabs>
          <w:tab w:leader="none" w:pos="1727"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auction, liquidation, fire sale, going-out-of-business or bankruptcy sale shall be conducted in the Premises without the prior written consent of Landlord.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0" w:name="page471"/>
    <w:bookmarkEnd w:id="470"/>
    <w:p>
      <w:pPr>
        <w:ind w:left="1740" w:hanging="900"/>
        <w:spacing w:after="0"/>
        <w:tabs>
          <w:tab w:leader="none" w:pos="174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tenant shall use or permit the use of any portion of the Premises for living quarters, sleeping apartments or lodging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rooms.</w:t>
      </w:r>
    </w:p>
    <w:p>
      <w:pPr>
        <w:spacing w:after="0" w:line="194" w:lineRule="exact"/>
        <w:rPr>
          <w:sz w:val="20"/>
          <w:szCs w:val="20"/>
          <w:color w:val="auto"/>
        </w:rPr>
      </w:pPr>
    </w:p>
    <w:p>
      <w:pPr>
        <w:jc w:val="both"/>
        <w:ind w:firstLine="840"/>
        <w:spacing w:after="0" w:line="249" w:lineRule="auto"/>
        <w:tabs>
          <w:tab w:leader="none" w:pos="1727"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purchase spring water, towels, janitorial or maintenance or other similar services from any company or persons not approved by Landlord. Landlord shall approve a sufficient number of sources of such services to provide Tenant with a reasonable selection, but only in such instances and to such extent as Landlord in its judgment shall consider consistent with the security and proper operation of the Building.</w:t>
      </w:r>
    </w:p>
    <w:p>
      <w:pPr>
        <w:spacing w:after="0" w:line="179" w:lineRule="exact"/>
        <w:rPr>
          <w:rFonts w:ascii="Times New Roman" w:cs="Times New Roman" w:eastAsia="Times New Roman" w:hAnsi="Times New Roman"/>
          <w:sz w:val="20"/>
          <w:szCs w:val="20"/>
          <w:color w:val="auto"/>
        </w:rPr>
      </w:pPr>
    </w:p>
    <w:p>
      <w:pPr>
        <w:jc w:val="both"/>
        <w:ind w:firstLine="840"/>
        <w:spacing w:after="0" w:line="254" w:lineRule="auto"/>
        <w:tabs>
          <w:tab w:leader="none" w:pos="1727"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install and maintain, at Tenant’s sole cost and expense, an adequate, visibly marked and properly operational fire extinguisher next to any duplicating or photocopying machines or similar heat producing equipment, which may or may not contain combustible material, in the Premises.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Parking Rules and Regulations</w:t>
      </w:r>
    </w:p>
    <w:p>
      <w:pPr>
        <w:spacing w:after="0" w:line="220" w:lineRule="exact"/>
        <w:rPr>
          <w:sz w:val="20"/>
          <w:szCs w:val="20"/>
          <w:color w:val="auto"/>
        </w:rPr>
      </w:pPr>
    </w:p>
    <w:p>
      <w:pPr>
        <w:jc w:val="both"/>
        <w:ind w:firstLine="832"/>
        <w:spacing w:after="0" w:line="254" w:lineRule="auto"/>
        <w:rPr>
          <w:sz w:val="20"/>
          <w:szCs w:val="20"/>
          <w:color w:val="auto"/>
        </w:rPr>
      </w:pPr>
      <w:r>
        <w:rPr>
          <w:rFonts w:ascii="Times New Roman" w:cs="Times New Roman" w:eastAsia="Times New Roman" w:hAnsi="Times New Roman"/>
          <w:sz w:val="20"/>
          <w:szCs w:val="20"/>
          <w:color w:val="auto"/>
        </w:rPr>
        <w:t>The following rules and regulations govern the use of the parking areas and facilities which serve the Building. Tenant will be bound by such rules and regulations and agrees to cause its employees, subtenants, assignees, contractors, suppliers, customers and invitees to observe the same:</w:t>
      </w:r>
    </w:p>
    <w:p>
      <w:pPr>
        <w:spacing w:after="0" w:line="174" w:lineRule="exact"/>
        <w:rPr>
          <w:sz w:val="20"/>
          <w:szCs w:val="20"/>
          <w:color w:val="auto"/>
        </w:rPr>
      </w:pPr>
    </w:p>
    <w:p>
      <w:pPr>
        <w:jc w:val="both"/>
        <w:ind w:firstLine="840"/>
        <w:spacing w:after="0" w:line="246" w:lineRule="auto"/>
        <w:tabs>
          <w:tab w:leader="none" w:pos="1625"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will not permit or allow any vehicles that belong to or are controlled by Tenant or Tenant’s employees, subtenants, customers or invitees to be loaded, unloaded or parked in areas other than those designated by Landlord for such activities. No vehicles are to be left in the parking areas or facilities overnight and no vehicles are to be parked in the parking areas or facilities other than normally-sized passenger automobiles, motorcycles and pick-up trucks. No extended term storage of vehicles or other items is permitted in the parking areas or facilities. Parking spaces may be used only for parking vehicles.</w:t>
      </w:r>
    </w:p>
    <w:p>
      <w:pPr>
        <w:spacing w:after="0" w:line="184" w:lineRule="exact"/>
        <w:rPr>
          <w:rFonts w:ascii="Times New Roman" w:cs="Times New Roman" w:eastAsia="Times New Roman" w:hAnsi="Times New Roman"/>
          <w:sz w:val="20"/>
          <w:szCs w:val="20"/>
          <w:color w:val="auto"/>
        </w:rPr>
      </w:pPr>
    </w:p>
    <w:p>
      <w:pPr>
        <w:jc w:val="both"/>
        <w:ind w:firstLine="840"/>
        <w:spacing w:after="0" w:line="254" w:lineRule="auto"/>
        <w:tabs>
          <w:tab w:leader="none" w:pos="162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Vehicles must be parked entirely within painted stall lines of a single parking stall, and only small cars may be parked in any areas which may be reserved for small cars. Only one vehicle may be parked in a parking space. In no event shall Tenant interfere with the use and enjoyment of the parking areas and facilities by other tenants of the Building or their employees or invitees.</w:t>
      </w:r>
    </w:p>
    <w:p>
      <w:pPr>
        <w:spacing w:after="0" w:line="174" w:lineRule="exact"/>
        <w:rPr>
          <w:rFonts w:ascii="Times New Roman" w:cs="Times New Roman" w:eastAsia="Times New Roman" w:hAnsi="Times New Roman"/>
          <w:sz w:val="20"/>
          <w:szCs w:val="20"/>
          <w:color w:val="auto"/>
        </w:rPr>
      </w:pPr>
    </w:p>
    <w:p>
      <w:pPr>
        <w:ind w:left="1640" w:hanging="800"/>
        <w:spacing w:after="0"/>
        <w:tabs>
          <w:tab w:leader="none" w:pos="164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directional signs and arrows must be observed.</w:t>
      </w:r>
    </w:p>
    <w:p>
      <w:pPr>
        <w:spacing w:after="0" w:line="215" w:lineRule="exact"/>
        <w:rPr>
          <w:rFonts w:ascii="Times New Roman" w:cs="Times New Roman" w:eastAsia="Times New Roman" w:hAnsi="Times New Roman"/>
          <w:sz w:val="20"/>
          <w:szCs w:val="20"/>
          <w:color w:val="auto"/>
        </w:rPr>
      </w:pPr>
    </w:p>
    <w:p>
      <w:pPr>
        <w:ind w:left="1640" w:hanging="800"/>
        <w:spacing w:after="0"/>
        <w:tabs>
          <w:tab w:leader="none" w:pos="164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speed limit within all parking areas shall be five (5) miles per hour.</w:t>
      </w:r>
    </w:p>
    <w:p>
      <w:pPr>
        <w:spacing w:after="0" w:line="215" w:lineRule="exact"/>
        <w:rPr>
          <w:rFonts w:ascii="Times New Roman" w:cs="Times New Roman" w:eastAsia="Times New Roman" w:hAnsi="Times New Roman"/>
          <w:sz w:val="20"/>
          <w:szCs w:val="20"/>
          <w:color w:val="auto"/>
        </w:rPr>
      </w:pPr>
    </w:p>
    <w:p>
      <w:pPr>
        <w:ind w:left="1640" w:hanging="800"/>
        <w:spacing w:after="0"/>
        <w:tabs>
          <w:tab w:leader="none" w:pos="164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Parking spaces reserved for handicapped persons must be used only by vehicles properly designated.</w:t>
      </w:r>
    </w:p>
    <w:p>
      <w:pPr>
        <w:spacing w:after="0" w:line="215" w:lineRule="exact"/>
        <w:rPr>
          <w:rFonts w:ascii="Times New Roman" w:cs="Times New Roman" w:eastAsia="Times New Roman" w:hAnsi="Times New Roman"/>
          <w:sz w:val="20"/>
          <w:szCs w:val="20"/>
          <w:color w:val="auto"/>
        </w:rPr>
      </w:pPr>
    </w:p>
    <w:p>
      <w:pPr>
        <w:jc w:val="both"/>
        <w:ind w:firstLine="840"/>
        <w:spacing w:after="0" w:line="254" w:lineRule="auto"/>
        <w:tabs>
          <w:tab w:leader="none" w:pos="162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Parking is prohibited: (a) in areas not striped for parking; (b) in aisles or on ramps; (c) where “no parking” signs are posted; (d) in cross-hatched areas; and (e) in such other areas as may be designated from time to time by Landlord or Landlord’s parking operator.</w:t>
      </w:r>
    </w:p>
    <w:p>
      <w:pPr>
        <w:spacing w:after="0" w:line="174" w:lineRule="exact"/>
        <w:rPr>
          <w:rFonts w:ascii="Times New Roman" w:cs="Times New Roman" w:eastAsia="Times New Roman" w:hAnsi="Times New Roman"/>
          <w:sz w:val="20"/>
          <w:szCs w:val="20"/>
          <w:color w:val="auto"/>
        </w:rPr>
      </w:pPr>
    </w:p>
    <w:p>
      <w:pPr>
        <w:ind w:firstLine="840"/>
        <w:spacing w:after="0" w:line="269" w:lineRule="auto"/>
        <w:tabs>
          <w:tab w:leader="none" w:pos="162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reserves the right, without cost or liability to Landlord, to tow any vehicle if such vehicle’s audio theft alarm system remains engaged for an unreasonable period of time.</w:t>
      </w:r>
    </w:p>
    <w:p>
      <w:pPr>
        <w:spacing w:after="0" w:line="159" w:lineRule="exact"/>
        <w:rPr>
          <w:rFonts w:ascii="Times New Roman" w:cs="Times New Roman" w:eastAsia="Times New Roman" w:hAnsi="Times New Roman"/>
          <w:sz w:val="20"/>
          <w:szCs w:val="20"/>
          <w:color w:val="auto"/>
        </w:rPr>
      </w:pPr>
    </w:p>
    <w:p>
      <w:pPr>
        <w:ind w:left="1640" w:hanging="800"/>
        <w:spacing w:after="0"/>
        <w:tabs>
          <w:tab w:leader="none" w:pos="1640" w:val="left"/>
        </w:tabs>
        <w:numPr>
          <w:ilvl w:val="0"/>
          <w:numId w:val="3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Washing, waxing, cleaning, repairing or servicing of any vehicle in any area not specifically reserved for such purpose is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prohibited.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1" w:name="page472"/>
    <w:bookmarkEnd w:id="471"/>
    <w:p>
      <w:pPr>
        <w:jc w:val="both"/>
        <w:ind w:firstLine="840"/>
        <w:spacing w:after="0" w:line="243" w:lineRule="auto"/>
        <w:tabs>
          <w:tab w:leader="none" w:pos="1628"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parking stickers, key cards or any other devices or forms of identification or entry supplied by the Landlord or Landlord’s parking operator shall remain the property of Landlord or such parking operator, as applicable. Any such parking devices must be displayed as requested and may not be mutilated in any manner. The serial number of the parking identification device may not be obliterated. Parking passes and devices are not transferable and any pass or device in the possession of an unauthorized holder will be void. Loss or theft of parking pass, identification, key cards or other such devices must be reported to Landlord and to the parking area/facility manager immediately. Any parking devices reported lost or stolen found on any authorized car will be confiscated and the illegal holder will be subject to prosecution. Lost or stolen passes and devices found by Tenant or its employees must be reported to the office of the parking area/facility immediately.</w:t>
      </w:r>
    </w:p>
    <w:p>
      <w:pPr>
        <w:spacing w:after="0" w:line="189" w:lineRule="exact"/>
        <w:rPr>
          <w:rFonts w:ascii="Times New Roman" w:cs="Times New Roman" w:eastAsia="Times New Roman" w:hAnsi="Times New Roman"/>
          <w:sz w:val="20"/>
          <w:szCs w:val="20"/>
          <w:color w:val="auto"/>
        </w:rPr>
      </w:pPr>
    </w:p>
    <w:p>
      <w:pPr>
        <w:ind w:left="1740" w:hanging="900"/>
        <w:spacing w:after="0"/>
        <w:tabs>
          <w:tab w:leader="none" w:pos="1740"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Parking area/facility managers and attendants are not authorized to make or allow any exceptions to these rules and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regulations.</w:t>
      </w:r>
    </w:p>
    <w:p>
      <w:pPr>
        <w:spacing w:after="0" w:line="193" w:lineRule="exact"/>
        <w:rPr>
          <w:rFonts w:ascii="Times New Roman" w:cs="Times New Roman" w:eastAsia="Times New Roman" w:hAnsi="Times New Roman"/>
          <w:sz w:val="20"/>
          <w:szCs w:val="20"/>
          <w:color w:val="auto"/>
        </w:rPr>
      </w:pPr>
    </w:p>
    <w:p>
      <w:pPr>
        <w:jc w:val="both"/>
        <w:ind w:firstLine="840"/>
        <w:spacing w:after="0" w:line="243" w:lineRule="auto"/>
        <w:tabs>
          <w:tab w:leader="none" w:pos="1720"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ACKNOWLEDGES AND AGREES THAT, TO THE FULLEST EXTENT PERMITTED BY LAW, LANDLORD SHALL NOT BE RESPONSIBLE FOR ANY LOSS OR DAMAGE TO TENANT OR TENANT’S PROPERTY (INCLUDING, WITHOUT LIMITATIONS, ANY LOSS OR DAMAGE TO TENANT’S VEHICLES OR THE CONTENTS THEREOF DUE TO THEFT, VANDALISM OR ACCIDENT) ARISING FROM OR RELATED TO TENANT’S USE OF THE PARKING AREAS AND FACILITIES, WHETHER OR NOT SUCH LOSS OR DAMAGE RESULTS FROM LANDLORD’S ACTIVE NEGLIGENCE OR NEGLIGENT OMISSION. THE LIMITATION ON LANDLORD’S LIABILITY UNDER THE PRECEDING SENTENCE SHALL NOT APPLY HOWEVER TO LOSS OR DAMAGE ARISING DIRECTLY FROM LANDLORD’S GROSS NEGLIGENCE OR WILLFUL MISCONDUCT.</w:t>
      </w:r>
    </w:p>
    <w:p>
      <w:pPr>
        <w:spacing w:after="0" w:line="189" w:lineRule="exact"/>
        <w:rPr>
          <w:rFonts w:ascii="Times New Roman" w:cs="Times New Roman" w:eastAsia="Times New Roman" w:hAnsi="Times New Roman"/>
          <w:sz w:val="20"/>
          <w:szCs w:val="20"/>
          <w:color w:val="auto"/>
        </w:rPr>
      </w:pPr>
    </w:p>
    <w:p>
      <w:pPr>
        <w:jc w:val="both"/>
        <w:ind w:firstLine="840"/>
        <w:spacing w:after="0" w:line="249" w:lineRule="auto"/>
        <w:tabs>
          <w:tab w:leader="none" w:pos="1727"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may refuse to permit any person to park in the parking facilities who violates these rules with unreasonable frequency, and any violation of these rules shall subject the violator’s car to removal, at such car owner’s expense. Tenant agrees to use its best efforts to acquaint its employees, subtenants, assignees, contractors, suppliers, customers and invitees with these parking provisions, rules and regulations.</w:t>
      </w:r>
    </w:p>
    <w:p>
      <w:pPr>
        <w:spacing w:after="0" w:line="179" w:lineRule="exact"/>
        <w:rPr>
          <w:rFonts w:ascii="Times New Roman" w:cs="Times New Roman" w:eastAsia="Times New Roman" w:hAnsi="Times New Roman"/>
          <w:sz w:val="20"/>
          <w:szCs w:val="20"/>
          <w:color w:val="auto"/>
        </w:rPr>
      </w:pPr>
    </w:p>
    <w:p>
      <w:pPr>
        <w:ind w:firstLine="840"/>
        <w:spacing w:after="0" w:line="269" w:lineRule="auto"/>
        <w:tabs>
          <w:tab w:leader="none" w:pos="1727"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reserves the right to establish and reasonably change the hours for the parking facilities, on a non-discriminatory basis, from time to time.</w:t>
      </w:r>
    </w:p>
    <w:p>
      <w:pPr>
        <w:spacing w:after="0" w:line="159" w:lineRule="exact"/>
        <w:rPr>
          <w:rFonts w:ascii="Times New Roman" w:cs="Times New Roman" w:eastAsia="Times New Roman" w:hAnsi="Times New Roman"/>
          <w:sz w:val="20"/>
          <w:szCs w:val="20"/>
          <w:color w:val="auto"/>
        </w:rPr>
      </w:pPr>
    </w:p>
    <w:p>
      <w:pPr>
        <w:jc w:val="both"/>
        <w:ind w:firstLine="840"/>
        <w:spacing w:after="0" w:line="245" w:lineRule="auto"/>
        <w:tabs>
          <w:tab w:leader="none" w:pos="1727"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reserves the right, without notice and without cost or liability to Landlord, in addition to such other rights and remedies that Landlord may have, to take such actions as may be necessary to enforce these rules and regulations, which may include, with respect to any vehicles where are used or parked in violation hereof, the towing and storage of such vehicles, attachment of wheel immobilizer units (boots), attaching violation stickers or notices to such vehicles, and the like. Landlord further reserves the right to charge the cost of any such actions to the non-complying Tenant, which cost shall be immediately payable by such Tenant upon demand by Landlord.</w:t>
      </w:r>
    </w:p>
    <w:p>
      <w:pPr>
        <w:spacing w:after="0" w:line="184" w:lineRule="exact"/>
        <w:rPr>
          <w:rFonts w:ascii="Times New Roman" w:cs="Times New Roman" w:eastAsia="Times New Roman" w:hAnsi="Times New Roman"/>
          <w:sz w:val="20"/>
          <w:szCs w:val="20"/>
          <w:color w:val="auto"/>
        </w:rPr>
      </w:pPr>
    </w:p>
    <w:p>
      <w:pPr>
        <w:ind w:firstLine="840"/>
        <w:spacing w:after="0" w:line="295" w:lineRule="auto"/>
        <w:tabs>
          <w:tab w:leader="none" w:pos="1727" w:val="left"/>
        </w:tabs>
        <w:numPr>
          <w:ilvl w:val="0"/>
          <w:numId w:val="3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reserves the right from time to time to modify and/or adopt such other reasonable and non-discriminatory rules and regulations for the parking areas and facilities as it deems reasonably necessary for the operation of the parking areas and facilities.</w:t>
      </w:r>
    </w:p>
    <w:p>
      <w:pPr>
        <w:spacing w:after="0" w:line="138" w:lineRule="exact"/>
        <w:rPr>
          <w:sz w:val="20"/>
          <w:szCs w:val="20"/>
          <w:color w:val="auto"/>
        </w:rPr>
      </w:pPr>
    </w:p>
    <w:p>
      <w:pPr>
        <w:jc w:val="both"/>
        <w:ind w:firstLine="832"/>
        <w:spacing w:after="0" w:line="259" w:lineRule="auto"/>
        <w:rPr>
          <w:sz w:val="20"/>
          <w:szCs w:val="20"/>
          <w:color w:val="auto"/>
        </w:rPr>
      </w:pPr>
      <w:r>
        <w:rPr>
          <w:rFonts w:ascii="Times New Roman" w:cs="Times New Roman" w:eastAsia="Times New Roman" w:hAnsi="Times New Roman"/>
          <w:sz w:val="19"/>
          <w:szCs w:val="19"/>
          <w:color w:val="auto"/>
        </w:rPr>
        <w:t>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2" w:name="page473"/>
    <w:bookmarkEnd w:id="47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82550</wp:posOffset>
            </wp:positionV>
            <wp:extent cx="7149465"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473" w:name="page474"/>
    <w:bookmarkEnd w:id="47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9019"/>
          </w:cols>
          <w:pgMar w:left="1440" w:top="356" w:right="1440" w:bottom="1440" w:gutter="0" w:footer="0" w:header="0"/>
        </w:sectPr>
      </w:pPr>
    </w:p>
    <w:bookmarkStart w:id="474" w:name="page475"/>
    <w:bookmarkEnd w:id="474"/>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10" w:lineRule="exact"/>
        <w:rPr>
          <w:sz w:val="20"/>
          <w:szCs w:val="20"/>
          <w:color w:val="auto"/>
        </w:rPr>
      </w:pPr>
    </w:p>
    <w:p>
      <w:pPr>
        <w:jc w:val="both"/>
        <w:ind w:firstLine="832"/>
        <w:spacing w:after="0" w:line="246" w:lineRule="auto"/>
        <w:rPr>
          <w:sz w:val="20"/>
          <w:szCs w:val="20"/>
          <w:color w:val="auto"/>
        </w:rPr>
      </w:pPr>
      <w:r>
        <w:rPr>
          <w:rFonts w:ascii="Times New Roman" w:cs="Times New Roman" w:eastAsia="Times New Roman" w:hAnsi="Times New Roman"/>
          <w:sz w:val="21"/>
          <w:szCs w:val="21"/>
          <w:color w:val="auto"/>
        </w:rPr>
        <w:t>Athira Pharma,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the granting of equity and cash compensation to members of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members of the Board, “</w:t>
      </w:r>
      <w:r>
        <w:rPr>
          <w:rFonts w:ascii="Times New Roman" w:cs="Times New Roman" w:eastAsia="Times New Roman" w:hAnsi="Times New Roman"/>
          <w:sz w:val="21"/>
          <w:szCs w:val="21"/>
          <w:u w:val="single" w:color="auto"/>
          <w:color w:val="auto"/>
        </w:rPr>
        <w:t>Directors</w:t>
      </w:r>
      <w:r>
        <w:rPr>
          <w:rFonts w:ascii="Times New Roman" w:cs="Times New Roman" w:eastAsia="Times New Roman" w:hAnsi="Times New Roman"/>
          <w:sz w:val="21"/>
          <w:szCs w:val="21"/>
          <w:color w:val="auto"/>
        </w:rPr>
        <w:t>”) represents an effective tool to attract, retain and reward Directors who are not employees of the Company (“</w:t>
      </w:r>
      <w:r>
        <w:rPr>
          <w:rFonts w:ascii="Times New Roman" w:cs="Times New Roman" w:eastAsia="Times New Roman" w:hAnsi="Times New Roman"/>
          <w:sz w:val="21"/>
          <w:szCs w:val="21"/>
          <w:u w:val="single" w:color="auto"/>
          <w:color w:val="auto"/>
        </w:rPr>
        <w:t>Outside Directors</w:t>
      </w:r>
      <w:r>
        <w:rPr>
          <w:rFonts w:ascii="Times New Roman" w:cs="Times New Roman" w:eastAsia="Times New Roman" w:hAnsi="Times New Roman"/>
          <w:sz w:val="21"/>
          <w:szCs w:val="21"/>
          <w:color w:val="auto"/>
        </w:rPr>
        <w:t>”). This Outside Director Compensation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75" w:lineRule="exact"/>
        <w:rPr>
          <w:sz w:val="20"/>
          <w:szCs w:val="20"/>
          <w:color w:val="auto"/>
        </w:rPr>
      </w:pPr>
    </w:p>
    <w:p>
      <w:pPr>
        <w:jc w:val="both"/>
        <w:ind w:firstLine="840"/>
        <w:spacing w:after="0" w:line="239" w:lineRule="auto"/>
        <w:tabs>
          <w:tab w:leader="none" w:pos="164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Policy will be 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 w:cs="Times New Roman" w:eastAsia="Times New Roman" w:hAnsi="Times New Roman"/>
          <w:sz w:val="22"/>
          <w:szCs w:val="22"/>
          <w:u w:val="single" w:color="auto"/>
          <w:color w:val="auto"/>
        </w:rPr>
        <w:t>Registration Date</w:t>
      </w:r>
      <w:r>
        <w:rPr>
          <w:rFonts w:ascii="Times New Roman" w:cs="Times New Roman" w:eastAsia="Times New Roman" w:hAnsi="Times New Roman"/>
          <w:sz w:val="22"/>
          <w:szCs w:val="22"/>
          <w:color w:val="auto"/>
        </w:rPr>
        <w:t>,” and the effective date of this Policy,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1660" w:hanging="820"/>
        <w:spacing w:after="0"/>
        <w:tabs>
          <w:tab w:leader="none" w:pos="166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p>
    <w:p>
      <w:pPr>
        <w:spacing w:after="0" w:line="206" w:lineRule="exact"/>
        <w:rPr>
          <w:sz w:val="20"/>
          <w:szCs w:val="20"/>
          <w:color w:val="auto"/>
        </w:rPr>
      </w:pPr>
    </w:p>
    <w:p>
      <w:pPr>
        <w:jc w:val="both"/>
        <w:ind w:right="20" w:firstLine="1663"/>
        <w:spacing w:after="0" w:line="261" w:lineRule="exact"/>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Board Member Annual Cash Retainer</w:t>
      </w:r>
      <w:r>
        <w:rPr>
          <w:rFonts w:ascii="Times New Roman" w:cs="Times New Roman" w:eastAsia="Times New Roman" w:hAnsi="Times New Roman"/>
          <w:sz w:val="22"/>
          <w:szCs w:val="22"/>
          <w:color w:val="auto"/>
        </w:rPr>
        <w:t>. Following the Effective Date, each Outside Director will be paid an annual cash retainer of $35,000. There are no per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meeting attendance fees for attending Board meetings or meetings of any committee of the Board.</w:t>
      </w:r>
    </w:p>
    <w:p>
      <w:pPr>
        <w:spacing w:after="0" w:line="177"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Additional Annual Cash Retainers</w:t>
      </w:r>
      <w:r>
        <w:rPr>
          <w:rFonts w:ascii="Times New Roman" w:cs="Times New Roman" w:eastAsia="Times New Roman" w:hAnsi="Times New Roman"/>
          <w:sz w:val="22"/>
          <w:szCs w:val="22"/>
          <w:color w:val="auto"/>
        </w:rPr>
        <w:t>. Following the Effective Date, each Outside Director who serves as the Chair of the Board, or the chair or a member of a committee of the Board, will be eligible to earn additional annual fees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7020" w:type="dxa"/>
            <w:vAlign w:val="bottom"/>
            <w:shd w:val="clear" w:color="auto" w:fill="D9D9D9"/>
          </w:tcPr>
          <w:p>
            <w:pPr>
              <w:spacing w:after="0"/>
              <w:rPr>
                <w:sz w:val="20"/>
                <w:szCs w:val="20"/>
                <w:color w:val="auto"/>
              </w:rPr>
            </w:pPr>
            <w:r>
              <w:rPr>
                <w:rFonts w:ascii="Times New Roman" w:cs="Times New Roman" w:eastAsia="Times New Roman" w:hAnsi="Times New Roman"/>
                <w:sz w:val="22"/>
                <w:szCs w:val="22"/>
                <w:color w:val="auto"/>
              </w:rPr>
              <w:t>Chair of the Board:</w:t>
            </w:r>
          </w:p>
        </w:tc>
        <w:tc>
          <w:tcPr>
            <w:tcW w:w="4220" w:type="dxa"/>
            <w:vAlign w:val="bottom"/>
            <w:shd w:val="clear" w:color="auto" w:fill="D9D9D9"/>
          </w:tcPr>
          <w:p>
            <w:pPr>
              <w:jc w:val="right"/>
              <w:ind w:right="1692"/>
              <w:spacing w:after="0"/>
              <w:rPr>
                <w:sz w:val="20"/>
                <w:szCs w:val="20"/>
                <w:color w:val="auto"/>
              </w:rPr>
            </w:pPr>
            <w:r>
              <w:rPr>
                <w:rFonts w:ascii="Times New Roman" w:cs="Times New Roman" w:eastAsia="Times New Roman" w:hAnsi="Times New Roman"/>
                <w:sz w:val="22"/>
                <w:szCs w:val="22"/>
                <w:color w:val="auto"/>
              </w:rPr>
              <w:t>$30,000</w:t>
            </w:r>
          </w:p>
        </w:tc>
      </w:tr>
      <w:tr>
        <w:trPr>
          <w:trHeight w:val="303"/>
        </w:trPr>
        <w:tc>
          <w:tcPr>
            <w:tcW w:w="7020" w:type="dxa"/>
            <w:vAlign w:val="bottom"/>
          </w:tcPr>
          <w:p>
            <w:pPr>
              <w:spacing w:after="0"/>
              <w:rPr>
                <w:sz w:val="20"/>
                <w:szCs w:val="20"/>
                <w:color w:val="auto"/>
              </w:rPr>
            </w:pPr>
            <w:r>
              <w:rPr>
                <w:rFonts w:ascii="Times New Roman" w:cs="Times New Roman" w:eastAsia="Times New Roman" w:hAnsi="Times New Roman"/>
                <w:sz w:val="22"/>
                <w:szCs w:val="22"/>
                <w:color w:val="auto"/>
              </w:rPr>
              <w:t>Audit Committee Chair:</w:t>
            </w:r>
          </w:p>
        </w:tc>
        <w:tc>
          <w:tcPr>
            <w:tcW w:w="4220" w:type="dxa"/>
            <w:vAlign w:val="bottom"/>
          </w:tcPr>
          <w:p>
            <w:pPr>
              <w:jc w:val="right"/>
              <w:ind w:right="1692"/>
              <w:spacing w:after="0"/>
              <w:rPr>
                <w:sz w:val="20"/>
                <w:szCs w:val="20"/>
                <w:color w:val="auto"/>
              </w:rPr>
            </w:pPr>
            <w:r>
              <w:rPr>
                <w:rFonts w:ascii="Times New Roman" w:cs="Times New Roman" w:eastAsia="Times New Roman" w:hAnsi="Times New Roman"/>
                <w:sz w:val="22"/>
                <w:szCs w:val="22"/>
                <w:color w:val="auto"/>
              </w:rPr>
              <w:t>$15,000</w:t>
            </w:r>
          </w:p>
        </w:tc>
      </w:tr>
      <w:tr>
        <w:trPr>
          <w:trHeight w:val="318"/>
        </w:trPr>
        <w:tc>
          <w:tcPr>
            <w:tcW w:w="7020" w:type="dxa"/>
            <w:vAlign w:val="bottom"/>
            <w:shd w:val="clear" w:color="auto" w:fill="D9D9D9"/>
          </w:tcPr>
          <w:p>
            <w:pPr>
              <w:spacing w:after="0"/>
              <w:rPr>
                <w:sz w:val="20"/>
                <w:szCs w:val="20"/>
                <w:color w:val="auto"/>
              </w:rPr>
            </w:pPr>
            <w:r>
              <w:rPr>
                <w:rFonts w:ascii="Times New Roman" w:cs="Times New Roman" w:eastAsia="Times New Roman" w:hAnsi="Times New Roman"/>
                <w:sz w:val="22"/>
                <w:szCs w:val="22"/>
                <w:color w:val="auto"/>
              </w:rPr>
              <w:t>Audit Committee Member:</w:t>
            </w:r>
          </w:p>
        </w:tc>
        <w:tc>
          <w:tcPr>
            <w:tcW w:w="4220" w:type="dxa"/>
            <w:vAlign w:val="bottom"/>
            <w:shd w:val="clear" w:color="auto" w:fill="D9D9D9"/>
          </w:tcPr>
          <w:p>
            <w:pPr>
              <w:jc w:val="right"/>
              <w:ind w:right="1692"/>
              <w:spacing w:after="0"/>
              <w:rPr>
                <w:sz w:val="20"/>
                <w:szCs w:val="20"/>
                <w:color w:val="auto"/>
              </w:rPr>
            </w:pPr>
            <w:r>
              <w:rPr>
                <w:rFonts w:ascii="Times New Roman" w:cs="Times New Roman" w:eastAsia="Times New Roman" w:hAnsi="Times New Roman"/>
                <w:sz w:val="22"/>
                <w:szCs w:val="22"/>
                <w:color w:val="auto"/>
              </w:rPr>
              <w:t>$7,500</w:t>
            </w:r>
          </w:p>
        </w:tc>
      </w:tr>
      <w:tr>
        <w:trPr>
          <w:trHeight w:val="303"/>
        </w:trPr>
        <w:tc>
          <w:tcPr>
            <w:tcW w:w="7020" w:type="dxa"/>
            <w:vAlign w:val="bottom"/>
          </w:tcPr>
          <w:p>
            <w:pPr>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4220" w:type="dxa"/>
            <w:vAlign w:val="bottom"/>
          </w:tcPr>
          <w:p>
            <w:pPr>
              <w:jc w:val="right"/>
              <w:ind w:right="1692"/>
              <w:spacing w:after="0"/>
              <w:rPr>
                <w:sz w:val="20"/>
                <w:szCs w:val="20"/>
                <w:color w:val="auto"/>
              </w:rPr>
            </w:pPr>
            <w:r>
              <w:rPr>
                <w:rFonts w:ascii="Times New Roman" w:cs="Times New Roman" w:eastAsia="Times New Roman" w:hAnsi="Times New Roman"/>
                <w:sz w:val="22"/>
                <w:szCs w:val="22"/>
                <w:color w:val="auto"/>
              </w:rPr>
              <w:t>$10,000</w:t>
            </w:r>
          </w:p>
        </w:tc>
      </w:tr>
      <w:tr>
        <w:trPr>
          <w:trHeight w:val="318"/>
        </w:trPr>
        <w:tc>
          <w:tcPr>
            <w:tcW w:w="7020" w:type="dxa"/>
            <w:vAlign w:val="bottom"/>
            <w:shd w:val="clear" w:color="auto" w:fill="D9D9D9"/>
          </w:tcPr>
          <w:p>
            <w:pPr>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4220" w:type="dxa"/>
            <w:vAlign w:val="bottom"/>
            <w:shd w:val="clear" w:color="auto" w:fill="D9D9D9"/>
          </w:tcPr>
          <w:p>
            <w:pPr>
              <w:jc w:val="right"/>
              <w:ind w:right="1692"/>
              <w:spacing w:after="0"/>
              <w:rPr>
                <w:sz w:val="20"/>
                <w:szCs w:val="20"/>
                <w:color w:val="auto"/>
              </w:rPr>
            </w:pPr>
            <w:r>
              <w:rPr>
                <w:rFonts w:ascii="Times New Roman" w:cs="Times New Roman" w:eastAsia="Times New Roman" w:hAnsi="Times New Roman"/>
                <w:sz w:val="22"/>
                <w:szCs w:val="22"/>
                <w:color w:val="auto"/>
              </w:rPr>
              <w:t>$5,000</w:t>
            </w:r>
          </w:p>
        </w:tc>
      </w:tr>
      <w:tr>
        <w:trPr>
          <w:trHeight w:val="303"/>
        </w:trPr>
        <w:tc>
          <w:tcPr>
            <w:tcW w:w="7020" w:type="dxa"/>
            <w:vAlign w:val="bottom"/>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4220" w:type="dxa"/>
            <w:vAlign w:val="bottom"/>
          </w:tcPr>
          <w:p>
            <w:pPr>
              <w:jc w:val="right"/>
              <w:ind w:right="1692"/>
              <w:spacing w:after="0"/>
              <w:rPr>
                <w:sz w:val="20"/>
                <w:szCs w:val="20"/>
                <w:color w:val="auto"/>
              </w:rPr>
            </w:pPr>
            <w:r>
              <w:rPr>
                <w:rFonts w:ascii="Times New Roman" w:cs="Times New Roman" w:eastAsia="Times New Roman" w:hAnsi="Times New Roman"/>
                <w:sz w:val="22"/>
                <w:szCs w:val="22"/>
                <w:color w:val="auto"/>
              </w:rPr>
              <w:t>$8,000</w:t>
            </w:r>
          </w:p>
        </w:tc>
      </w:tr>
      <w:tr>
        <w:trPr>
          <w:trHeight w:val="318"/>
        </w:trPr>
        <w:tc>
          <w:tcPr>
            <w:tcW w:w="7020" w:type="dxa"/>
            <w:vAlign w:val="bottom"/>
            <w:shd w:val="clear" w:color="auto" w:fill="D9D9D9"/>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4220" w:type="dxa"/>
            <w:vAlign w:val="bottom"/>
            <w:shd w:val="clear" w:color="auto" w:fill="D9D9D9"/>
          </w:tcPr>
          <w:p>
            <w:pPr>
              <w:jc w:val="right"/>
              <w:ind w:right="1692"/>
              <w:spacing w:after="0"/>
              <w:rPr>
                <w:sz w:val="20"/>
                <w:szCs w:val="20"/>
                <w:color w:val="auto"/>
              </w:rPr>
            </w:pPr>
            <w:r>
              <w:rPr>
                <w:rFonts w:ascii="Times New Roman" w:cs="Times New Roman" w:eastAsia="Times New Roman" w:hAnsi="Times New Roman"/>
                <w:sz w:val="22"/>
                <w:szCs w:val="22"/>
                <w:color w:val="auto"/>
              </w:rPr>
              <w:t>$4,000</w:t>
            </w:r>
          </w:p>
        </w:tc>
      </w:tr>
    </w:tbl>
    <w:p>
      <w:pPr>
        <w:spacing w:after="0" w:line="189" w:lineRule="exact"/>
        <w:rPr>
          <w:sz w:val="20"/>
          <w:szCs w:val="20"/>
          <w:color w:val="auto"/>
        </w:rPr>
      </w:pPr>
    </w:p>
    <w:p>
      <w:pPr>
        <w:jc w:val="both"/>
        <w:ind w:right="20" w:firstLine="1663"/>
        <w:spacing w:after="0" w:line="239"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5" w:name="page476"/>
    <w:bookmarkEnd w:id="475"/>
    <w:p>
      <w:pPr>
        <w:jc w:val="both"/>
        <w:ind w:firstLine="1663"/>
        <w:spacing w:after="0" w:line="23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Payment Timing and Proration</w:t>
      </w:r>
      <w:r>
        <w:rPr>
          <w:rFonts w:ascii="Times New Roman" w:cs="Times New Roman" w:eastAsia="Times New Roman" w:hAnsi="Times New Roman"/>
          <w:sz w:val="22"/>
          <w:szCs w:val="22"/>
          <w:color w:val="auto"/>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 w:cs="Times New Roman" w:eastAsia="Times New Roman" w:hAnsi="Times New Roman"/>
          <w:sz w:val="22"/>
          <w:szCs w:val="22"/>
          <w:u w:val="single" w:color="auto"/>
          <w:color w:val="auto"/>
        </w:rPr>
        <w:t>Initial Period</w:t>
      </w:r>
      <w:r>
        <w:rPr>
          <w:rFonts w:ascii="Times New Roman" w:cs="Times New Roman" w:eastAsia="Times New Roman" w:hAnsi="Times New Roman"/>
          <w:sz w:val="22"/>
          <w:szCs w:val="22"/>
          <w:color w:val="auto"/>
        </w:rPr>
        <w:t>”), as applicable, will receive a prorated payment of the quarterly installment of the applicable annual cash retainer(s), calculated based on the number of days during the Initial Period that such Outside Director has served in the relevant capacities.</w:t>
      </w:r>
    </w:p>
    <w:p>
      <w:pPr>
        <w:spacing w:after="0" w:line="187" w:lineRule="exact"/>
        <w:rPr>
          <w:sz w:val="20"/>
          <w:szCs w:val="20"/>
          <w:color w:val="auto"/>
        </w:rPr>
      </w:pPr>
    </w:p>
    <w:p>
      <w:pPr>
        <w:jc w:val="both"/>
        <w:ind w:firstLine="840"/>
        <w:spacing w:after="0" w:line="239" w:lineRule="auto"/>
        <w:tabs>
          <w:tab w:leader="none" w:pos="1642"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Outside Directors will be eligible to receive all types of Awards (except Incentive Stock Options) under the Plan, including discretionary Awards not covered under this Policy. All grants of Awards to Outside Directors pursuant to Sections 3.2, 3.3, and 3.4 of this Policy will be automatic and nondiscretionary, except as otherwise provided herein, and will be made in accordance with the following provisions:</w:t>
      </w:r>
    </w:p>
    <w:p>
      <w:pPr>
        <w:spacing w:after="0" w:line="180" w:lineRule="exact"/>
        <w:rPr>
          <w:sz w:val="20"/>
          <w:szCs w:val="20"/>
          <w:color w:val="auto"/>
        </w:rPr>
      </w:pPr>
    </w:p>
    <w:p>
      <w:pPr>
        <w:jc w:val="both"/>
        <w:ind w:firstLine="1663"/>
        <w:spacing w:after="0" w:line="24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Awards under this Policy or to determine the number of Shares to be covered by such Awards (except as provided in Sections 3.5.4 and 10 below).</w:t>
      </w:r>
    </w:p>
    <w:p>
      <w:pPr>
        <w:spacing w:after="0" w:line="173" w:lineRule="exact"/>
        <w:rPr>
          <w:sz w:val="20"/>
          <w:szCs w:val="20"/>
          <w:color w:val="auto"/>
        </w:rPr>
      </w:pPr>
    </w:p>
    <w:p>
      <w:pPr>
        <w:jc w:val="both"/>
        <w:ind w:firstLine="1663"/>
        <w:spacing w:after="0" w:line="248" w:lineRule="exact"/>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individual who first becomes an Outside Director following the Effective Date automatically will be granted an award of Options (an “</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to purchase 27,742 Shares. The grant date of the Initial Award will be the first Trading Day on or after the date on which such individual first becomes an Outside Director (such first date as an Outside Director, the “</w:t>
      </w:r>
      <w:r>
        <w:rPr>
          <w:rFonts w:ascii="Times New Roman" w:cs="Times New Roman" w:eastAsia="Times New Roman" w:hAnsi="Times New Roman"/>
          <w:sz w:val="22"/>
          <w:szCs w:val="22"/>
          <w:u w:val="single" w:color="auto"/>
          <w:color w:val="auto"/>
        </w:rPr>
        <w:t>Initial Start Date</w:t>
      </w:r>
      <w:r>
        <w:rPr>
          <w:rFonts w:ascii="Times New Roman" w:cs="Times New Roman" w:eastAsia="Times New Roman" w:hAnsi="Times New Roman"/>
          <w:sz w:val="22"/>
          <w:szCs w:val="22"/>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spacing w:after="0" w:line="182" w:lineRule="exact"/>
        <w:rPr>
          <w:sz w:val="20"/>
          <w:szCs w:val="20"/>
          <w:color w:val="auto"/>
        </w:rPr>
      </w:pPr>
    </w:p>
    <w:p>
      <w:pPr>
        <w:jc w:val="both"/>
        <w:ind w:firstLine="1663"/>
        <w:spacing w:after="0" w:line="235"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the first Trading Day immediately following each Annual Meeting of the Company’s stockholders (an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that occurs after the Effective Date, each Outside Director who has completed at least six (6) months of continuous service as an Outside Director as of the date of such Annual Meeting automatically will be granted an award of Options to purchase 13,871 Shares (the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The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6" w:name="page477"/>
    <w:bookmarkEnd w:id="476"/>
    <w:p>
      <w:pPr>
        <w:jc w:val="both"/>
        <w:ind w:firstLine="1663"/>
        <w:spacing w:after="0" w:line="249" w:lineRule="exact"/>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IPO Award</w:t>
      </w:r>
      <w:r>
        <w:rPr>
          <w:rFonts w:ascii="Times New Roman" w:cs="Times New Roman" w:eastAsia="Times New Roman" w:hAnsi="Times New Roman"/>
          <w:sz w:val="22"/>
          <w:szCs w:val="22"/>
          <w:color w:val="auto"/>
          <w:highlight w:val="white"/>
        </w:rPr>
        <w:t>. Effective as of the Registration Date, each Outside Director will be granted an award</w:t>
      </w:r>
      <w:r>
        <w:rPr>
          <w:rFonts w:ascii="Times New Roman" w:cs="Times New Roman" w:eastAsia="Times New Roman" w:hAnsi="Times New Roman"/>
          <w:sz w:val="22"/>
          <w:szCs w:val="22"/>
          <w:color w:val="auto"/>
        </w:rPr>
        <w:t xml:space="preserve"> of Options (the “</w:t>
      </w:r>
      <w:r>
        <w:rPr>
          <w:rFonts w:ascii="Times New Roman" w:cs="Times New Roman" w:eastAsia="Times New Roman" w:hAnsi="Times New Roman"/>
          <w:sz w:val="22"/>
          <w:szCs w:val="22"/>
          <w:u w:val="single" w:color="auto"/>
          <w:color w:val="auto"/>
        </w:rPr>
        <w:t>IPO Award</w:t>
      </w:r>
      <w:r>
        <w:rPr>
          <w:rFonts w:ascii="Times New Roman" w:cs="Times New Roman" w:eastAsia="Times New Roman" w:hAnsi="Times New Roman"/>
          <w:sz w:val="22"/>
          <w:szCs w:val="22"/>
          <w:color w:val="auto"/>
        </w:rPr>
        <w:t>”) to purchase 27,742 Shares. Each IPO Award will be scheduled to vest as to one thirty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sixth (1/36</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of the Shares subject to the IPO Award on a monthly basis following the Vesting Commencement Date on the same day of the month as the Vesting Commencement Date (or the last day of the month, if there is no corresponding day in a given month) over a period of three (3) years from the Vesting Commencement Date, so that all of the Shares subject to the IPO Award will be scheduled to be vested by three-year anniversary of the Vesting Commencement Date, subject to the Outside Director remaining a Service Provider through the applicable vesting date. The Vesting Commencement Date of any IPO Award granted to each Outside Director other than James Johnson will be the Registration Date. The Vesting Commencement Date of any IPO Award granted to James Johnson will be August 26, 2020.</w:t>
      </w:r>
    </w:p>
    <w:p>
      <w:pPr>
        <w:spacing w:after="0" w:line="178" w:lineRule="exact"/>
        <w:rPr>
          <w:sz w:val="20"/>
          <w:szCs w:val="20"/>
          <w:color w:val="auto"/>
        </w:rPr>
      </w:pPr>
    </w:p>
    <w:p>
      <w:pPr>
        <w:jc w:val="both"/>
        <w:ind w:right="20" w:firstLine="1663"/>
        <w:spacing w:after="0" w:line="25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Additional Terms of Initial Awards, Annual Awards and IPO Awards</w:t>
      </w:r>
      <w:r>
        <w:rPr>
          <w:rFonts w:ascii="Times New Roman" w:cs="Times New Roman" w:eastAsia="Times New Roman" w:hAnsi="Times New Roman"/>
          <w:sz w:val="22"/>
          <w:szCs w:val="22"/>
          <w:color w:val="auto"/>
        </w:rPr>
        <w:t>. The terms and conditions of each Initial Award, Annual Award and IPO Award (each, a “</w:t>
      </w:r>
      <w:r>
        <w:rPr>
          <w:rFonts w:ascii="Times New Roman" w:cs="Times New Roman" w:eastAsia="Times New Roman" w:hAnsi="Times New Roman"/>
          <w:sz w:val="22"/>
          <w:szCs w:val="22"/>
          <w:u w:val="single" w:color="auto"/>
          <w:color w:val="auto"/>
        </w:rPr>
        <w:t>Policy Award</w:t>
      </w:r>
      <w:r>
        <w:rPr>
          <w:rFonts w:ascii="Times New Roman" w:cs="Times New Roman" w:eastAsia="Times New Roman" w:hAnsi="Times New Roman"/>
          <w:sz w:val="22"/>
          <w:szCs w:val="22"/>
          <w:color w:val="auto"/>
        </w:rPr>
        <w:t>”) will be as follows.</w:t>
      </w:r>
    </w:p>
    <w:p>
      <w:pPr>
        <w:spacing w:after="0" w:line="158" w:lineRule="exact"/>
        <w:rPr>
          <w:sz w:val="20"/>
          <w:szCs w:val="20"/>
          <w:color w:val="auto"/>
        </w:rPr>
      </w:pPr>
    </w:p>
    <w:p>
      <w:pPr>
        <w:ind w:left="3340"/>
        <w:spacing w:after="0"/>
        <w:tabs>
          <w:tab w:leader="none" w:pos="4400" w:val="left"/>
        </w:tabs>
        <w:rPr>
          <w:sz w:val="20"/>
          <w:szCs w:val="20"/>
          <w:color w:val="auto"/>
        </w:rPr>
      </w:pPr>
      <w:r>
        <w:rPr>
          <w:rFonts w:ascii="Times New Roman" w:cs="Times New Roman" w:eastAsia="Times New Roman" w:hAnsi="Times New Roman"/>
          <w:sz w:val="22"/>
          <w:szCs w:val="22"/>
          <w:color w:val="auto"/>
        </w:rPr>
        <w:t>3.5.1</w:t>
      </w:r>
      <w:r>
        <w:rPr>
          <w:sz w:val="20"/>
          <w:szCs w:val="20"/>
          <w:color w:val="auto"/>
        </w:rPr>
        <w:tab/>
      </w:r>
      <w:r>
        <w:rPr>
          <w:rFonts w:ascii="Times New Roman" w:cs="Times New Roman" w:eastAsia="Times New Roman" w:hAnsi="Times New Roman"/>
          <w:sz w:val="22"/>
          <w:szCs w:val="22"/>
          <w:color w:val="auto"/>
        </w:rPr>
        <w:t>The term of each Policy Award will be ten (10) years, subject to earlier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termination as provided in the Plan.</w:t>
      </w:r>
    </w:p>
    <w:p>
      <w:pPr>
        <w:spacing w:after="0" w:line="182" w:lineRule="exact"/>
        <w:rPr>
          <w:sz w:val="20"/>
          <w:szCs w:val="20"/>
          <w:color w:val="auto"/>
        </w:rPr>
      </w:pPr>
    </w:p>
    <w:p>
      <w:pPr>
        <w:jc w:val="both"/>
        <w:ind w:firstLine="3328"/>
        <w:spacing w:after="0" w:line="238" w:lineRule="auto"/>
        <w:rPr>
          <w:sz w:val="20"/>
          <w:szCs w:val="20"/>
          <w:color w:val="auto"/>
        </w:rPr>
      </w:pPr>
      <w:r>
        <w:rPr>
          <w:rFonts w:ascii="Times New Roman" w:cs="Times New Roman" w:eastAsia="Times New Roman" w:hAnsi="Times New Roman"/>
          <w:sz w:val="22"/>
          <w:szCs w:val="22"/>
          <w:color w:val="auto"/>
        </w:rPr>
        <w:t>3.5.2 The per Share exercise price of each Policy Award will be equal to one hundred percent (100%) of the Fair Market Value per Share on such Policy Award’s grant date. For purposes of clarity, the per Share exercise price of an IPO Award will be equal to the initial Share price to the public as set forth in the final prospectus included within the registration statement on Form S-1 filed with the Securities and Exchange Commission for the Company’s initial public offering of its Common Stock.</w:t>
      </w:r>
    </w:p>
    <w:p>
      <w:pPr>
        <w:spacing w:after="0" w:line="177" w:lineRule="exact"/>
        <w:rPr>
          <w:sz w:val="20"/>
          <w:szCs w:val="20"/>
          <w:color w:val="auto"/>
        </w:rPr>
      </w:pPr>
    </w:p>
    <w:p>
      <w:pPr>
        <w:jc w:val="both"/>
        <w:ind w:firstLine="3328"/>
        <w:spacing w:after="0" w:line="244" w:lineRule="auto"/>
        <w:rPr>
          <w:sz w:val="20"/>
          <w:szCs w:val="20"/>
          <w:color w:val="auto"/>
        </w:rPr>
      </w:pPr>
      <w:r>
        <w:rPr>
          <w:rFonts w:ascii="Times New Roman" w:cs="Times New Roman" w:eastAsia="Times New Roman" w:hAnsi="Times New Roman"/>
          <w:sz w:val="22"/>
          <w:szCs w:val="22"/>
          <w:color w:val="auto"/>
        </w:rPr>
        <w:t>3.5.3 Each Policy Award will be granted under and subject to the terms and conditions of the Plan and the applicable form of Award Agreement previously approved by the Board or its Committee, as applicable, for use thereunder.</w:t>
      </w:r>
    </w:p>
    <w:p>
      <w:pPr>
        <w:spacing w:after="0" w:line="173" w:lineRule="exact"/>
        <w:rPr>
          <w:sz w:val="20"/>
          <w:szCs w:val="20"/>
          <w:color w:val="auto"/>
        </w:rPr>
      </w:pPr>
    </w:p>
    <w:p>
      <w:pPr>
        <w:jc w:val="both"/>
        <w:ind w:firstLine="3328"/>
        <w:spacing w:after="0" w:line="244" w:lineRule="auto"/>
        <w:rPr>
          <w:sz w:val="20"/>
          <w:szCs w:val="20"/>
          <w:color w:val="auto"/>
        </w:rPr>
      </w:pPr>
      <w:r>
        <w:rPr>
          <w:rFonts w:ascii="Times New Roman" w:cs="Times New Roman" w:eastAsia="Times New Roman" w:hAnsi="Times New Roman"/>
          <w:sz w:val="22"/>
          <w:szCs w:val="22"/>
          <w:color w:val="auto"/>
        </w:rPr>
        <w:t>3.5.4 The Board or its Committee, as applicable and in its discretion, may change and otherwise revise the terms of Policy Awards to be granted in the future pursuant to this Policy, including without limitation the number of Shares subject thereto and type of Award.</w:t>
      </w:r>
    </w:p>
    <w:p>
      <w:pPr>
        <w:spacing w:after="0" w:line="173" w:lineRule="exact"/>
        <w:rPr>
          <w:sz w:val="20"/>
          <w:szCs w:val="20"/>
          <w:color w:val="auto"/>
        </w:rPr>
      </w:pPr>
    </w:p>
    <w:p>
      <w:pPr>
        <w:jc w:val="both"/>
        <w:ind w:firstLine="840"/>
        <w:spacing w:after="0" w:line="244" w:lineRule="auto"/>
        <w:tabs>
          <w:tab w:leader="none" w:pos="1642"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the event of a Change in Control, each Outside Director will fully vest in his or her outstanding Company equity awards as of immediately prior to the Change in Control, including any Policy Award, provided that the Outside Director continues to be an Outside Director through the date of such Change in Control.</w:t>
      </w:r>
    </w:p>
    <w:p>
      <w:pPr>
        <w:spacing w:after="0" w:line="173" w:lineRule="exact"/>
        <w:rPr>
          <w:rFonts w:ascii="Times New Roman" w:cs="Times New Roman" w:eastAsia="Times New Roman" w:hAnsi="Times New Roman"/>
          <w:sz w:val="22"/>
          <w:szCs w:val="22"/>
          <w:color w:val="auto"/>
        </w:rPr>
      </w:pPr>
    </w:p>
    <w:p>
      <w:pPr>
        <w:jc w:val="both"/>
        <w:ind w:firstLine="840"/>
        <w:spacing w:after="0" w:line="235" w:lineRule="auto"/>
        <w:tabs>
          <w:tab w:leader="none" w:pos="1642"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Compensation Limit</w:t>
      </w:r>
      <w:r>
        <w:rPr>
          <w:rFonts w:ascii="Times New Roman" w:cs="Times New Roman" w:eastAsia="Times New Roman" w:hAnsi="Times New Roman"/>
          <w:sz w:val="22"/>
          <w:szCs w:val="22"/>
          <w:color w:val="auto"/>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8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7" w:name="page478"/>
    <w:bookmarkEnd w:id="477"/>
    <w:p>
      <w:pPr>
        <w:ind w:firstLine="840"/>
        <w:spacing w:after="0" w:line="258" w:lineRule="auto"/>
        <w:tabs>
          <w:tab w:leader="none" w:pos="164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Expenses</w:t>
      </w:r>
      <w:r>
        <w:rPr>
          <w:rFonts w:ascii="Times New Roman" w:cs="Times New Roman" w:eastAsia="Times New Roman" w:hAnsi="Times New Roman"/>
          <w:sz w:val="22"/>
          <w:szCs w:val="22"/>
          <w:color w:val="auto"/>
        </w:rPr>
        <w:t>. Each Outside Director’s reasonable, customary and properly documented travel expenses to meetings of the Board and any of its committees, as applicable, will be reimbursed by the Company.</w:t>
      </w:r>
    </w:p>
    <w:p>
      <w:pPr>
        <w:spacing w:after="0" w:line="158" w:lineRule="exact"/>
        <w:rPr>
          <w:rFonts w:ascii="Times New Roman" w:cs="Times New Roman" w:eastAsia="Times New Roman" w:hAnsi="Times New Roman"/>
          <w:sz w:val="22"/>
          <w:szCs w:val="22"/>
          <w:color w:val="auto"/>
        </w:rPr>
      </w:pPr>
    </w:p>
    <w:p>
      <w:pPr>
        <w:jc w:val="both"/>
        <w:ind w:firstLine="840"/>
        <w:spacing w:after="0" w:line="236" w:lineRule="auto"/>
        <w:tabs>
          <w:tab w:leader="none" w:pos="164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Policy Awards.</w:t>
      </w:r>
    </w:p>
    <w:p>
      <w:pPr>
        <w:spacing w:after="0" w:line="181" w:lineRule="exact"/>
        <w:rPr>
          <w:rFonts w:ascii="Times New Roman" w:cs="Times New Roman" w:eastAsia="Times New Roman" w:hAnsi="Times New Roman"/>
          <w:sz w:val="22"/>
          <w:szCs w:val="22"/>
          <w:color w:val="auto"/>
        </w:rPr>
      </w:pPr>
    </w:p>
    <w:p>
      <w:pPr>
        <w:jc w:val="both"/>
        <w:ind w:firstLine="840"/>
        <w:spacing w:after="0" w:line="234" w:lineRule="auto"/>
        <w:tabs>
          <w:tab w:leader="none" w:pos="164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79" w:lineRule="exact"/>
        <w:rPr>
          <w:rFonts w:ascii="Times New Roman" w:cs="Times New Roman" w:eastAsia="Times New Roman" w:hAnsi="Times New Roman"/>
          <w:sz w:val="22"/>
          <w:szCs w:val="22"/>
          <w:color w:val="auto"/>
        </w:rPr>
      </w:pPr>
    </w:p>
    <w:p>
      <w:pPr>
        <w:jc w:val="both"/>
        <w:ind w:firstLine="840"/>
        <w:spacing w:after="0" w:line="239" w:lineRule="auto"/>
        <w:tabs>
          <w:tab w:leader="none" w:pos="164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initial adoption of this Policy will be subject to approval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80" w:lineRule="exact"/>
        <w:rPr>
          <w:rFonts w:ascii="Times New Roman" w:cs="Times New Roman" w:eastAsia="Times New Roman" w:hAnsi="Times New Roman"/>
          <w:sz w:val="22"/>
          <w:szCs w:val="22"/>
          <w:color w:val="auto"/>
        </w:rPr>
      </w:pPr>
    </w:p>
    <w:p>
      <w:pPr>
        <w:jc w:val="both"/>
        <w:ind w:firstLine="840"/>
        <w:spacing w:after="0" w:line="234" w:lineRule="auto"/>
        <w:tabs>
          <w:tab w:leader="none" w:pos="175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Revisions</w:t>
      </w:r>
      <w:r>
        <w:rPr>
          <w:rFonts w:ascii="Times New Roman" w:cs="Times New Roman" w:eastAsia="Times New Roman" w:hAnsi="Times New Roman"/>
          <w:sz w:val="22"/>
          <w:szCs w:val="22"/>
          <w:color w:val="auto"/>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183" w:lineRule="exact"/>
        <w:rPr>
          <w:sz w:val="20"/>
          <w:szCs w:val="20"/>
          <w:color w:val="auto"/>
        </w:rPr>
      </w:pPr>
    </w:p>
    <w:p>
      <w:pPr>
        <w:ind w:left="4900"/>
        <w:spacing w:after="0"/>
        <w:tabs>
          <w:tab w:leader="none" w:pos="5580" w:val="left"/>
          <w:tab w:leader="none" w:pos="62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544" w:right="339" w:bottom="1440" w:gutter="0" w:footer="0" w:header="0"/>
        </w:sectPr>
      </w:pPr>
    </w:p>
    <w:bookmarkStart w:id="478" w:name="page479"/>
    <w:bookmarkEnd w:id="478"/>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INCENTIVE COMPENSATION PLAN</w:t>
      </w:r>
    </w:p>
    <w:p>
      <w:pPr>
        <w:spacing w:after="0" w:line="210" w:lineRule="exact"/>
        <w:rPr>
          <w:sz w:val="20"/>
          <w:szCs w:val="20"/>
          <w:color w:val="auto"/>
        </w:rPr>
      </w:pPr>
    </w:p>
    <w:p>
      <w:pPr>
        <w:ind w:firstLine="840"/>
        <w:spacing w:after="0" w:line="258" w:lineRule="auto"/>
        <w:tabs>
          <w:tab w:leader="none" w:pos="1628"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Plan is intended to increase stockholder value and the success of the Company by motivating Employees to (a) perform to the best of their abilities and (b) achieve the Company’s objectives.</w:t>
      </w:r>
    </w:p>
    <w:p>
      <w:pPr>
        <w:spacing w:after="0" w:line="158" w:lineRule="exact"/>
        <w:rPr>
          <w:rFonts w:ascii="Times New Roman" w:cs="Times New Roman" w:eastAsia="Times New Roman" w:hAnsi="Times New Roman"/>
          <w:sz w:val="20"/>
          <w:szCs w:val="20"/>
          <w:color w:val="auto"/>
        </w:rPr>
      </w:pPr>
    </w:p>
    <w:p>
      <w:pPr>
        <w:ind w:left="1640" w:hanging="800"/>
        <w:spacing w:after="0"/>
        <w:tabs>
          <w:tab w:leader="none" w:pos="164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82"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Actual Award</w:t>
      </w:r>
      <w:r>
        <w:rPr>
          <w:rFonts w:ascii="Times New Roman" w:cs="Times New Roman" w:eastAsia="Times New Roman" w:hAnsi="Times New Roman"/>
          <w:sz w:val="21"/>
          <w:szCs w:val="21"/>
          <w:color w:val="auto"/>
        </w:rPr>
        <w:t>” means as to any Performance Period, the actual award (if any) payable to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Participant for the Performance Period, subject to the authority of the Administrator (as defined in Section 3) under Section 4.4.</w:t>
      </w:r>
    </w:p>
    <w:p>
      <w:pPr>
        <w:spacing w:after="0" w:line="135"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any corporation or other entity (including, but not limited to, partnerships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joint ventures) that, from time to time and at the time of any determination, directly or indirectly, is in control of or is controlled by the Company.</w:t>
      </w:r>
    </w:p>
    <w:p>
      <w:pPr>
        <w:spacing w:after="0" w:line="157" w:lineRule="exact"/>
        <w:rPr>
          <w:sz w:val="20"/>
          <w:szCs w:val="20"/>
          <w:color w:val="auto"/>
        </w:rPr>
      </w:pPr>
    </w:p>
    <w:p>
      <w:pPr>
        <w:ind w:left="1680"/>
        <w:spacing w:after="0"/>
        <w:tabs>
          <w:tab w:leader="none" w:pos="25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18" w:lineRule="exact"/>
        <w:rPr>
          <w:sz w:val="20"/>
          <w:szCs w:val="20"/>
          <w:color w:val="auto"/>
        </w:rPr>
      </w:pPr>
    </w:p>
    <w:p>
      <w:pPr>
        <w:jc w:val="both"/>
        <w:ind w:firstLine="1663"/>
        <w:spacing w:after="0" w:line="282"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Bonus Pool</w:t>
      </w:r>
      <w:r>
        <w:rPr>
          <w:rFonts w:ascii="Times New Roman" w:cs="Times New Roman" w:eastAsia="Times New Roman" w:hAnsi="Times New Roman"/>
          <w:sz w:val="21"/>
          <w:szCs w:val="21"/>
          <w:color w:val="auto"/>
        </w:rPr>
        <w:t>” means the pool of funds available for distribution to Participants. Subject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terms of the Plan, the Administrator establishes the Bonus Pool for each Performance Period.</w:t>
      </w:r>
    </w:p>
    <w:p>
      <w:pPr>
        <w:spacing w:after="0" w:line="135" w:lineRule="exact"/>
        <w:rPr>
          <w:sz w:val="20"/>
          <w:szCs w:val="20"/>
          <w:color w:val="auto"/>
        </w:rPr>
      </w:pPr>
    </w:p>
    <w:p>
      <w:pPr>
        <w:jc w:val="both"/>
        <w:ind w:firstLine="1663"/>
        <w:spacing w:after="0" w:line="255"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U.S. Internal Revenue Code of 1986, as amended. Reference to a specific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section of the Code or regulation thereunder will include such section or regulation, any valid regulation or formal guidance of general or direct applicability promulgated under such section or regulation, and any comparable provision of any future legislation or regulation amending, supplementing or superseding such section or regulation.</w:t>
      </w:r>
    </w:p>
    <w:p>
      <w:pPr>
        <w:spacing w:after="0" w:line="162" w:lineRule="exact"/>
        <w:rPr>
          <w:sz w:val="20"/>
          <w:szCs w:val="20"/>
          <w:color w:val="auto"/>
        </w:rPr>
      </w:pPr>
    </w:p>
    <w:p>
      <w:pPr>
        <w:ind w:left="1680"/>
        <w:spacing w:after="0"/>
        <w:tabs>
          <w:tab w:leader="none" w:pos="25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appointed by the Board (pursuant to Section 3) to administer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ind w:left="1680"/>
        <w:spacing w:after="0"/>
        <w:tabs>
          <w:tab w:leader="none" w:pos="25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Athira Pharma, Inc., a Delaware corporation, or any successor thereto.</w:t>
      </w:r>
    </w:p>
    <w:p>
      <w:pPr>
        <w:spacing w:after="0" w:line="218" w:lineRule="exact"/>
        <w:rPr>
          <w:sz w:val="20"/>
          <w:szCs w:val="20"/>
          <w:color w:val="auto"/>
        </w:rPr>
      </w:pPr>
    </w:p>
    <w:p>
      <w:pPr>
        <w:ind w:left="1680"/>
        <w:spacing w:after="0"/>
        <w:tabs>
          <w:tab w:leader="none" w:pos="254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means the Company and any Parents, Subsidiaries, and Affiliates.</w:t>
      </w:r>
    </w:p>
    <w:p>
      <w:pPr>
        <w:spacing w:after="0" w:line="218" w:lineRule="exact"/>
        <w:rPr>
          <w:sz w:val="20"/>
          <w:szCs w:val="20"/>
          <w:color w:val="auto"/>
        </w:rPr>
      </w:pPr>
    </w:p>
    <w:p>
      <w:pPr>
        <w:jc w:val="both"/>
        <w:ind w:firstLine="1663"/>
        <w:spacing w:after="0" w:line="282"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a permanent and total disability determined in accordance with uniform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nondiscriminatory standards adopted by the Administrator from time to time.</w:t>
      </w:r>
    </w:p>
    <w:p>
      <w:pPr>
        <w:spacing w:after="0" w:line="135" w:lineRule="exact"/>
        <w:rPr>
          <w:sz w:val="20"/>
          <w:szCs w:val="20"/>
          <w:color w:val="auto"/>
        </w:rPr>
      </w:pPr>
    </w:p>
    <w:p>
      <w:pPr>
        <w:jc w:val="both"/>
        <w:ind w:firstLine="1663"/>
        <w:spacing w:after="0" w:line="282"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means any executive, officer, or other employee of the Company Group, whether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such individual is so employed at the time the Plan is adopted or becomes so employed subsequent to the adoption of the Plan.</w:t>
      </w:r>
    </w:p>
    <w:p>
      <w:pPr>
        <w:spacing w:after="0" w:line="135" w:lineRule="exact"/>
        <w:rPr>
          <w:sz w:val="20"/>
          <w:szCs w:val="20"/>
          <w:color w:val="auto"/>
        </w:rPr>
      </w:pPr>
    </w:p>
    <w:p>
      <w:pPr>
        <w:ind w:left="1680"/>
        <w:spacing w:after="0"/>
        <w:tabs>
          <w:tab w:leader="none" w:pos="26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the fiscal year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4946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9" w:name="page480"/>
    <w:bookmarkEnd w:id="479"/>
    <w:p>
      <w:pPr>
        <w:ind w:left="1680"/>
        <w:spacing w:after="0"/>
        <w:tabs>
          <w:tab w:leader="none" w:pos="26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Code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424(e).</w:t>
      </w:r>
    </w:p>
    <w:p>
      <w:pPr>
        <w:spacing w:after="0" w:line="182" w:lineRule="exact"/>
        <w:rPr>
          <w:sz w:val="20"/>
          <w:szCs w:val="20"/>
          <w:color w:val="auto"/>
        </w:rPr>
      </w:pPr>
    </w:p>
    <w:p>
      <w:pPr>
        <w:jc w:val="both"/>
        <w:ind w:firstLine="1663"/>
        <w:spacing w:after="0" w:line="282"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as to any Performance Period, an Employee who has been selected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Administrator for participation in the Plan for that Performance Period.</w:t>
      </w:r>
    </w:p>
    <w:p>
      <w:pPr>
        <w:spacing w:after="0" w:line="135" w:lineRule="exact"/>
        <w:rPr>
          <w:sz w:val="20"/>
          <w:szCs w:val="20"/>
          <w:color w:val="auto"/>
        </w:rPr>
      </w:pPr>
    </w:p>
    <w:p>
      <w:pPr>
        <w:jc w:val="both"/>
        <w:ind w:firstLine="1663"/>
        <w:spacing w:after="0" w:line="255"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the period of time for the measurement of the performance criteria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that must be met to receive an Actual Award, as determined by the Administrator. A Performance Period may be divided into one or more shorter periods if, for example, but not by way of limitation, the Administrator desires to measure some performance criteria over twelve (12) months and other criteria over three (3) months.</w:t>
      </w:r>
    </w:p>
    <w:p>
      <w:pPr>
        <w:spacing w:after="0" w:line="162" w:lineRule="exact"/>
        <w:rPr>
          <w:sz w:val="20"/>
          <w:szCs w:val="20"/>
          <w:color w:val="auto"/>
        </w:rPr>
      </w:pPr>
    </w:p>
    <w:p>
      <w:pPr>
        <w:jc w:val="both"/>
        <w:ind w:firstLine="1663"/>
        <w:spacing w:after="0" w:line="282"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Executive Incentive Compensation Plan (including any appendix attached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hereto), as may be amended from time to time.</w:t>
      </w:r>
    </w:p>
    <w:p>
      <w:pPr>
        <w:spacing w:after="0" w:line="135" w:lineRule="exact"/>
        <w:rPr>
          <w:sz w:val="20"/>
          <w:szCs w:val="20"/>
          <w:color w:val="auto"/>
        </w:rPr>
      </w:pPr>
    </w:p>
    <w:p>
      <w:pPr>
        <w:jc w:val="both"/>
        <w:ind w:firstLine="1663"/>
        <w:spacing w:after="0" w:line="282" w:lineRule="auto"/>
        <w:rPr>
          <w:sz w:val="20"/>
          <w:szCs w:val="20"/>
          <w:color w:val="auto"/>
        </w:rPr>
      </w:pPr>
      <w:r>
        <w:rPr>
          <w:rFonts w:ascii="Times New Roman" w:cs="Times New Roman" w:eastAsia="Times New Roman" w:hAnsi="Times New Roman"/>
          <w:sz w:val="20"/>
          <w:szCs w:val="20"/>
          <w:color w:val="auto"/>
        </w:rPr>
        <w:t xml:space="preserve">2.16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means Section 409A of the Code and any applicable state law equivalent, as each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may be promulgated, amended or modified from time to time.</w:t>
      </w:r>
    </w:p>
    <w:p>
      <w:pPr>
        <w:spacing w:after="0" w:line="135" w:lineRule="exact"/>
        <w:rPr>
          <w:sz w:val="20"/>
          <w:szCs w:val="20"/>
          <w:color w:val="auto"/>
        </w:rPr>
      </w:pPr>
    </w:p>
    <w:p>
      <w:pPr>
        <w:jc w:val="both"/>
        <w:ind w:firstLine="1663"/>
        <w:spacing w:after="0" w:line="282" w:lineRule="auto"/>
        <w:rPr>
          <w:sz w:val="20"/>
          <w:szCs w:val="20"/>
          <w:color w:val="auto"/>
        </w:rPr>
      </w:pPr>
      <w:r>
        <w:rPr>
          <w:rFonts w:ascii="Times New Roman" w:cs="Times New Roman" w:eastAsia="Times New Roman" w:hAnsi="Times New Roman"/>
          <w:sz w:val="20"/>
          <w:szCs w:val="20"/>
          <w:color w:val="auto"/>
        </w:rPr>
        <w:t xml:space="preserve">2.17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 “subsidiary corporation,” whether now or hereafter existing, as defined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Code Section 424(f), in relation to the Company.</w:t>
      </w:r>
    </w:p>
    <w:p>
      <w:pPr>
        <w:spacing w:after="0" w:line="135"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2.18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Award</w:t>
      </w:r>
      <w:r>
        <w:rPr>
          <w:rFonts w:ascii="Times New Roman" w:cs="Times New Roman" w:eastAsia="Times New Roman" w:hAnsi="Times New Roman"/>
          <w:sz w:val="21"/>
          <w:szCs w:val="21"/>
          <w:color w:val="auto"/>
        </w:rPr>
        <w:t>” means the target award, at one hundred percent (100%) of target level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performance achievement, payable under the Plan to a Participant for a Performance Period, as determined by the Administrator in accordance with Section 4.2.</w:t>
      </w:r>
    </w:p>
    <w:p>
      <w:pPr>
        <w:spacing w:after="0" w:line="157" w:lineRule="exact"/>
        <w:rPr>
          <w:sz w:val="20"/>
          <w:szCs w:val="20"/>
          <w:color w:val="auto"/>
        </w:rPr>
      </w:pPr>
    </w:p>
    <w:p>
      <w:pPr>
        <w:jc w:val="both"/>
        <w:ind w:firstLine="1663"/>
        <w:spacing w:after="0" w:line="248" w:lineRule="auto"/>
        <w:rPr>
          <w:sz w:val="20"/>
          <w:szCs w:val="20"/>
          <w:color w:val="auto"/>
        </w:rPr>
      </w:pPr>
      <w:r>
        <w:rPr>
          <w:rFonts w:ascii="Times New Roman" w:cs="Times New Roman" w:eastAsia="Times New Roman" w:hAnsi="Times New Roman"/>
          <w:sz w:val="20"/>
          <w:szCs w:val="20"/>
          <w:color w:val="auto"/>
        </w:rPr>
        <w:t xml:space="preserve">2.19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Withholdings</w:t>
      </w:r>
      <w:r>
        <w:rPr>
          <w:rFonts w:ascii="Times New Roman" w:cs="Times New Roman" w:eastAsia="Times New Roman" w:hAnsi="Times New Roman"/>
          <w:sz w:val="21"/>
          <w:szCs w:val="21"/>
          <w:color w:val="auto"/>
        </w:rPr>
        <w:t>” means tax, social insurance and social security liability or premium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obligations in connection with the awards under the Plan, including without limitation: (a) all federal, state, and local income, employment and any other taxes (including the Participant’s U.S. Federal Insurance Contributions Act (FICA) obligation) that are required to be withheld by the Company Group, (b) the Participant’s and, to the extent required by the Company Group, the fringe benefit tax liability of the Company Group associated with an award under the Plan, and (c) any other taxes or social insurance or social security liabilities or premium the responsibility for which the Participant has, or has agreed to bear, with respect to such award under the Plan.</w:t>
      </w:r>
    </w:p>
    <w:p>
      <w:pPr>
        <w:spacing w:after="0" w:line="200" w:lineRule="exact"/>
        <w:rPr>
          <w:sz w:val="20"/>
          <w:szCs w:val="20"/>
          <w:color w:val="auto"/>
        </w:rPr>
      </w:pPr>
    </w:p>
    <w:p>
      <w:pPr>
        <w:spacing w:after="0" w:line="220" w:lineRule="exact"/>
        <w:rPr>
          <w:sz w:val="20"/>
          <w:szCs w:val="20"/>
          <w:color w:val="auto"/>
        </w:rPr>
      </w:pPr>
    </w:p>
    <w:p>
      <w:pPr>
        <w:jc w:val="both"/>
        <w:ind w:firstLine="1663"/>
        <w:spacing w:after="0" w:line="251" w:lineRule="auto"/>
        <w:rPr>
          <w:sz w:val="20"/>
          <w:szCs w:val="20"/>
          <w:color w:val="auto"/>
        </w:rPr>
      </w:pPr>
      <w:r>
        <w:rPr>
          <w:rFonts w:ascii="Times New Roman" w:cs="Times New Roman" w:eastAsia="Times New Roman" w:hAnsi="Times New Roman"/>
          <w:sz w:val="20"/>
          <w:szCs w:val="20"/>
          <w:color w:val="auto"/>
        </w:rPr>
        <w:t xml:space="preserve">2.20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means a cessation of the employee-employer relationship between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 Employee and the Company Group, including without limitation a termination by resignation, discharge, death, Disability, retirement, or the disaffiliation of a Parent, Subsidiary or Affiliate. For purposes of the Plan, transfer of employment of a Participant between any members of the Company Group (for example, between the Company and a Subsidiary) will not be deemed a Termination of Employment.</w:t>
      </w:r>
    </w:p>
    <w:p>
      <w:pPr>
        <w:spacing w:after="0" w:line="168" w:lineRule="exact"/>
        <w:rPr>
          <w:sz w:val="20"/>
          <w:szCs w:val="20"/>
          <w:color w:val="auto"/>
        </w:rPr>
      </w:pPr>
    </w:p>
    <w:p>
      <w:pPr>
        <w:ind w:left="1640" w:hanging="800"/>
        <w:spacing w:after="0"/>
        <w:tabs>
          <w:tab w:leader="none" w:pos="164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48"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The Plan will be administered by the Board or a Committee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To the extent necessary or desirable to satisfy applicable laws, the Committee acting as the Administrator will consist of not less than two (2) members of the Board. The members of any Committee will be appointed from time to time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0" w:name="page481"/>
    <w:bookmarkEnd w:id="480"/>
    <w:p>
      <w:pPr>
        <w:jc w:val="both"/>
        <w:ind w:firstLine="1663"/>
        <w:spacing w:after="0" w:line="249" w:lineRule="exact"/>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1"/>
          <w:szCs w:val="21"/>
          <w:u w:val="single" w:color="auto"/>
          <w:color w:val="auto"/>
        </w:rPr>
        <w:t>Administrator Authority</w:t>
      </w:r>
      <w:r>
        <w:rPr>
          <w:rFonts w:ascii="Times New Roman" w:cs="Times New Roman" w:eastAsia="Times New Roman" w:hAnsi="Times New Roman"/>
          <w:sz w:val="21"/>
          <w:szCs w:val="21"/>
          <w:color w:val="auto"/>
        </w:rPr>
        <w:t>. It will be the duty of the Administrator to administer the Plan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accordance with the Plan’s provisions. The Administrator will have all powers and discretion necessary or appropriate to administer the Plan and to control its operation, including, but not limited to, the power to (a) determine which Employees will be granted awards, (b) prescribe the terms and conditions of awards, (c) interpret the Plan and the awards, (d) adopt such procedures and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plans as are necessary or appropriate to permit participation in the Plan by Employees who are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U.S. nationals or employed outside of the U.S. or to qualify awards for special tax treatment under the laws of jurisdictions other than the U.S.,</w:t>
      </w:r>
    </w:p>
    <w:p>
      <w:pPr>
        <w:spacing w:after="0" w:line="4" w:lineRule="exact"/>
        <w:rPr>
          <w:sz w:val="20"/>
          <w:szCs w:val="20"/>
          <w:color w:val="auto"/>
        </w:rPr>
      </w:pPr>
    </w:p>
    <w:p>
      <w:pPr>
        <w:jc w:val="both"/>
        <w:ind w:firstLine="8"/>
        <w:spacing w:after="0" w:line="235" w:lineRule="auto"/>
        <w:tabs>
          <w:tab w:leader="none" w:pos="324"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rules for the administration, interpretation and application of the Plan as are consistent therewith, and (f) interpret, amend or revoke any such rules. Any determinations and decisions made or to be made by the Administrator pursuant to the provisions of the Plan, unless specified otherwise by the Administrator, will be in the Administrator’s sole discretion.</w:t>
      </w:r>
    </w:p>
    <w:p>
      <w:pPr>
        <w:spacing w:after="0" w:line="178"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1"/>
          <w:szCs w:val="21"/>
          <w:u w:val="single" w:color="auto"/>
          <w:color w:val="auto"/>
        </w:rPr>
        <w:t>Decisions Binding</w:t>
      </w:r>
      <w:r>
        <w:rPr>
          <w:rFonts w:ascii="Times New Roman" w:cs="Times New Roman" w:eastAsia="Times New Roman" w:hAnsi="Times New Roman"/>
          <w:sz w:val="21"/>
          <w:szCs w:val="21"/>
          <w:color w:val="auto"/>
        </w:rPr>
        <w:t>. All determinations and decisions made by the Administrator and/or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delegate of the Administrator pursuant to the provisions of the Plan will be final, conclusive, and binding on all persons, and will be given the maximum deference permitted by law.</w:t>
      </w:r>
    </w:p>
    <w:p>
      <w:pPr>
        <w:spacing w:after="0" w:line="157"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1"/>
          <w:szCs w:val="21"/>
          <w:u w:val="single" w:color="auto"/>
          <w:color w:val="auto"/>
        </w:rPr>
        <w:t>Delegation by Administrator</w:t>
      </w:r>
      <w:r>
        <w:rPr>
          <w:rFonts w:ascii="Times New Roman" w:cs="Times New Roman" w:eastAsia="Times New Roman" w:hAnsi="Times New Roman"/>
          <w:sz w:val="21"/>
          <w:szCs w:val="21"/>
          <w:color w:val="auto"/>
        </w:rPr>
        <w:t>. The Administrator, on such terms and conditions as it may provide,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may delegate all or part of its authority and powers under the Plan to one or more directors and/or officers of the Company. Such delegation may be revoked at any time.</w:t>
      </w:r>
    </w:p>
    <w:p>
      <w:pPr>
        <w:spacing w:after="0" w:line="157" w:lineRule="exact"/>
        <w:rPr>
          <w:sz w:val="20"/>
          <w:szCs w:val="20"/>
          <w:color w:val="auto"/>
        </w:rPr>
      </w:pPr>
    </w:p>
    <w:p>
      <w:pPr>
        <w:jc w:val="both"/>
        <w:ind w:firstLine="1663"/>
        <w:spacing w:after="0" w:line="246"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Each person who is or will have been a member of the Administrator will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(b)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71" w:lineRule="exact"/>
        <w:rPr>
          <w:sz w:val="20"/>
          <w:szCs w:val="20"/>
          <w:color w:val="auto"/>
        </w:rPr>
      </w:pPr>
    </w:p>
    <w:p>
      <w:pPr>
        <w:ind w:left="1640" w:hanging="800"/>
        <w:spacing w:after="0"/>
        <w:tabs>
          <w:tab w:leader="none" w:pos="1640"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Selection of Participants and Determination of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5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1"/>
          <w:szCs w:val="21"/>
          <w:u w:val="single" w:color="auto"/>
          <w:color w:val="auto"/>
        </w:rPr>
        <w:t>Selection of Participants</w:t>
      </w:r>
      <w:r>
        <w:rPr>
          <w:rFonts w:ascii="Times New Roman" w:cs="Times New Roman" w:eastAsia="Times New Roman" w:hAnsi="Times New Roman"/>
          <w:sz w:val="21"/>
          <w:szCs w:val="21"/>
          <w:color w:val="auto"/>
        </w:rPr>
        <w:t>. The Administrator will select the Employees who will be Participants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any Performance Period. Participation in the Plan will be on a Performance Period by Performance Period basis. Accordingly, an Employee who is a Participant for a given 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spacing w:after="0" w:line="168"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1"/>
          <w:szCs w:val="21"/>
          <w:u w:val="single" w:color="auto"/>
          <w:color w:val="auto"/>
        </w:rPr>
        <w:t>Determination of Target Awards</w:t>
      </w:r>
      <w:r>
        <w:rPr>
          <w:rFonts w:ascii="Times New Roman" w:cs="Times New Roman" w:eastAsia="Times New Roman" w:hAnsi="Times New Roman"/>
          <w:sz w:val="21"/>
          <w:szCs w:val="21"/>
          <w:color w:val="auto"/>
        </w:rPr>
        <w:t>. The Administrator may establish a Target Award for each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Participant (which may be expressed as a percentage of a Participant’s average annual base salary for the Performance Period or a fixed dollar amount or such other amount or based on such other formula or factors as the Administrator determines).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1" w:name="page482"/>
    <w:bookmarkEnd w:id="481"/>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1"/>
          <w:szCs w:val="21"/>
          <w:u w:val="single" w:color="auto"/>
          <w:color w:val="auto"/>
        </w:rPr>
        <w:t>Bonus Pool</w:t>
      </w:r>
      <w:r>
        <w:rPr>
          <w:rFonts w:ascii="Times New Roman" w:cs="Times New Roman" w:eastAsia="Times New Roman" w:hAnsi="Times New Roman"/>
          <w:sz w:val="21"/>
          <w:szCs w:val="21"/>
          <w:color w:val="auto"/>
        </w:rPr>
        <w:t>. Each Performance Period, the Administrator may establish a Bonus Pool, which pool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may be established before, during or after the applicable Performance Period. Actual Awards will be paid from the Bonus Pool (if a Bonus Pool has been established).</w:t>
      </w:r>
    </w:p>
    <w:p>
      <w:pPr>
        <w:spacing w:after="0" w:line="157" w:lineRule="exact"/>
        <w:rPr>
          <w:sz w:val="20"/>
          <w:szCs w:val="20"/>
          <w:color w:val="auto"/>
        </w:rPr>
      </w:pPr>
    </w:p>
    <w:p>
      <w:pPr>
        <w:jc w:val="both"/>
        <w:ind w:firstLine="1663"/>
        <w:spacing w:after="0" w:line="24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1"/>
          <w:szCs w:val="21"/>
          <w:u w:val="single" w:color="auto"/>
          <w:color w:val="auto"/>
        </w:rPr>
        <w:t>Discretion to Modify Awards</w:t>
      </w:r>
      <w:r>
        <w:rPr>
          <w:rFonts w:ascii="Times New Roman" w:cs="Times New Roman" w:eastAsia="Times New Roman" w:hAnsi="Times New Roman"/>
          <w:sz w:val="21"/>
          <w:szCs w:val="21"/>
          <w:color w:val="auto"/>
        </w:rPr>
        <w:t>. Notwithstanding any contrary provision of the Plan,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Administrator, at any time prior to payment of an Actual Award, may: (a) increase, reduce or eliminate a Participant’s Actual Award, and/or (b) 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spacing w:after="0" w:line="171" w:lineRule="exact"/>
        <w:rPr>
          <w:sz w:val="20"/>
          <w:szCs w:val="20"/>
          <w:color w:val="auto"/>
        </w:rPr>
      </w:pPr>
    </w:p>
    <w:p>
      <w:pPr>
        <w:jc w:val="both"/>
        <w:ind w:firstLine="1663"/>
        <w:spacing w:after="0" w:line="245" w:lineRule="exact"/>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1"/>
          <w:szCs w:val="21"/>
          <w:u w:val="single" w:color="auto"/>
          <w:color w:val="auto"/>
        </w:rPr>
        <w:t>Discretion to Determine Criteria</w:t>
      </w:r>
      <w:r>
        <w:rPr>
          <w:rFonts w:ascii="Times New Roman" w:cs="Times New Roman" w:eastAsia="Times New Roman" w:hAnsi="Times New Roman"/>
          <w:sz w:val="21"/>
          <w:szCs w:val="21"/>
          <w:color w:val="auto"/>
        </w:rPr>
        <w:t>. Notwithstanding any contrary provision of the Plan,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Administrator will determine the performance goals, if any, applicable to any Target Award (or portion thereof) which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As determined by the Administrator, the performance goals may be based on U.S. generally accepted accounting principles (“</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or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 (c) in relative terms (including, but not limited to, results for other periods, passage of time and/or against another company or companies or an index or indices), (d) on a per-share basis, (e) against the performance of the Company as a whole or a segment of the Company and/or (f) on a pre-tax or after-tax basis. The performance goals may differ from Participant to Participant and from award to award. Failure to meet the applicable performance goals will result in a failure to earn the Target Award, except as provided in Section 4.4.</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2" w:name="page483"/>
    <w:bookmarkEnd w:id="482"/>
    <w:p>
      <w:pPr>
        <w:ind w:left="1640" w:hanging="800"/>
        <w:spacing w:after="0"/>
        <w:tabs>
          <w:tab w:leader="none" w:pos="164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Payment of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1"/>
          <w:szCs w:val="21"/>
          <w:u w:val="single" w:color="auto"/>
          <w:color w:val="auto"/>
        </w:rPr>
        <w:t>Right to Receive Payment</w:t>
      </w:r>
      <w:r>
        <w:rPr>
          <w:rFonts w:ascii="Times New Roman" w:cs="Times New Roman" w:eastAsia="Times New Roman" w:hAnsi="Times New Roman"/>
          <w:sz w:val="21"/>
          <w:szCs w:val="21"/>
          <w:color w:val="auto"/>
        </w:rPr>
        <w:t>. Each Actual Award will be paid solely from the general assets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Company Group. Nothing in this Plan will be construed to create a trust or to establish or evidence any Participant’s claim of any right other than as an unsecured general creditor with respect to any payment to which the Participant may be entitled.</w:t>
      </w:r>
    </w:p>
    <w:p>
      <w:pPr>
        <w:spacing w:after="0" w:line="157" w:lineRule="exact"/>
        <w:rPr>
          <w:sz w:val="20"/>
          <w:szCs w:val="20"/>
          <w:color w:val="auto"/>
        </w:rPr>
      </w:pPr>
    </w:p>
    <w:p>
      <w:pPr>
        <w:jc w:val="both"/>
        <w:ind w:firstLine="1663"/>
        <w:spacing w:after="0" w:line="247"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1"/>
          <w:szCs w:val="21"/>
          <w:u w:val="single" w:color="auto"/>
          <w:color w:val="auto"/>
        </w:rPr>
        <w:t>Timing of Payment</w:t>
      </w:r>
      <w:r>
        <w:rPr>
          <w:rFonts w:ascii="Times New Roman" w:cs="Times New Roman" w:eastAsia="Times New Roman" w:hAnsi="Times New Roman"/>
          <w:sz w:val="21"/>
          <w:szCs w:val="21"/>
          <w:color w:val="auto"/>
        </w:rPr>
        <w:t>. Payment of each Actual Award will be made as soon as practicable after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end of the Performance Period to which the Actual Award relates and after the Actual Award is approved by the Administrator, but in no event after the later of (a) the fifteenth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1"/>
          <w:szCs w:val="21"/>
          <w:color w:val="auto"/>
        </w:rPr>
        <w:t>) day of the third (3</w:t>
      </w:r>
      <w:r>
        <w:rPr>
          <w:rFonts w:ascii="Times New Roman" w:cs="Times New Roman" w:eastAsia="Times New Roman" w:hAnsi="Times New Roman"/>
          <w:sz w:val="18"/>
          <w:szCs w:val="18"/>
          <w:color w:val="auto"/>
        </w:rPr>
        <w:t>rd</w:t>
      </w:r>
      <w:r>
        <w:rPr>
          <w:rFonts w:ascii="Times New Roman" w:cs="Times New Roman" w:eastAsia="Times New Roman" w:hAnsi="Times New Roman"/>
          <w:sz w:val="21"/>
          <w:szCs w:val="21"/>
          <w:color w:val="auto"/>
        </w:rPr>
        <w:t>) month of the Fiscal Year immediately following the Fiscal Year in which the Participant’s Actual Award first becomes no longer subject to a substantial risk of forfeiture, and</w:t>
      </w:r>
    </w:p>
    <w:p>
      <w:pPr>
        <w:spacing w:after="0" w:line="2" w:lineRule="exact"/>
        <w:rPr>
          <w:sz w:val="20"/>
          <w:szCs w:val="20"/>
          <w:color w:val="auto"/>
        </w:rPr>
      </w:pPr>
    </w:p>
    <w:p>
      <w:pPr>
        <w:jc w:val="both"/>
        <w:ind w:firstLine="8"/>
        <w:spacing w:after="0" w:line="234" w:lineRule="auto"/>
        <w:tabs>
          <w:tab w:leader="none" w:pos="309"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March 15 of the calendar year immediately following the calendar year in which the Participant’s Actual Award first becomes no longer subject to a substantial risk of forfeiture. Unless otherwise determined by the Administrator, to earn an Actual Award a Participant must be employed by the Company Group on the date the Actual Award is paid, and in all cases subject to the Administrator’s discretion pursuant to Section 4.4.</w:t>
      </w:r>
    </w:p>
    <w:p>
      <w:pPr>
        <w:spacing w:after="0" w:line="177"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1"/>
          <w:szCs w:val="21"/>
          <w:u w:val="single" w:color="auto"/>
          <w:color w:val="auto"/>
        </w:rPr>
        <w:t>Form of Payment</w:t>
      </w:r>
      <w:r>
        <w:rPr>
          <w:rFonts w:ascii="Times New Roman" w:cs="Times New Roman" w:eastAsia="Times New Roman" w:hAnsi="Times New Roman"/>
          <w:sz w:val="21"/>
          <w:szCs w:val="21"/>
          <w:color w:val="auto"/>
        </w:rPr>
        <w:t>. Each Actual Award generally will be paid in cash (or its equivalent) in a single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lump sum. The Administrator reserves the right to settle an Actual Award with a grant of an equity award with such terms and conditions, including any vesting requirements, as determined by the Administrator.</w:t>
      </w:r>
    </w:p>
    <w:p>
      <w:pPr>
        <w:spacing w:after="0" w:line="157" w:lineRule="exact"/>
        <w:rPr>
          <w:sz w:val="20"/>
          <w:szCs w:val="20"/>
          <w:color w:val="auto"/>
        </w:rPr>
      </w:pPr>
    </w:p>
    <w:p>
      <w:pPr>
        <w:jc w:val="both"/>
        <w:ind w:firstLine="1663"/>
        <w:spacing w:after="0" w:line="255"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1"/>
          <w:szCs w:val="21"/>
          <w:u w:val="single" w:color="auto"/>
          <w:color w:val="auto"/>
        </w:rPr>
        <w:t>Payment in the Event of Death or Disability</w:t>
      </w:r>
      <w:r>
        <w:rPr>
          <w:rFonts w:ascii="Times New Roman" w:cs="Times New Roman" w:eastAsia="Times New Roman" w:hAnsi="Times New Roman"/>
          <w:sz w:val="21"/>
          <w:szCs w:val="21"/>
          <w:color w:val="auto"/>
        </w:rPr>
        <w:t>. If a Termination of Employment occurs due to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Participant’s death or Disability prior to payment of an Actual Award that the Administrator has determined will be paid for a prior Performance Period, then the Actual Award will be paid to the Participant or the Participant’s estate, as the case may be, subject to the Administrator’s discretion pursuant to Section 4.4.</w:t>
      </w:r>
    </w:p>
    <w:p>
      <w:pPr>
        <w:spacing w:after="0" w:line="162" w:lineRule="exact"/>
        <w:rPr>
          <w:sz w:val="20"/>
          <w:szCs w:val="20"/>
          <w:color w:val="auto"/>
        </w:rPr>
      </w:pPr>
    </w:p>
    <w:p>
      <w:pPr>
        <w:ind w:left="1640" w:hanging="800"/>
        <w:spacing w:after="0"/>
        <w:tabs>
          <w:tab w:leader="none" w:pos="1640"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680"/>
        <w:spacing w:after="0"/>
        <w:tabs>
          <w:tab w:leader="none" w:pos="25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2496"/>
        <w:spacing w:after="0" w:line="252" w:lineRule="exact"/>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It is the intent that this Plan be exempt from or comply with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requirements of Section 409A 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2(b)(2). In no event will the Company Group have any liability, obligation, or responsibility to reimburse, indemnify or hold harmless any Participant or other Employee for any taxes, penalties or interest imposed, or other costs incurred, as a result of Section 409A.</w:t>
      </w:r>
    </w:p>
    <w:p>
      <w:pPr>
        <w:spacing w:after="0" w:line="178" w:lineRule="exact"/>
        <w:rPr>
          <w:sz w:val="20"/>
          <w:szCs w:val="20"/>
          <w:color w:val="auto"/>
        </w:rPr>
      </w:pPr>
    </w:p>
    <w:p>
      <w:pPr>
        <w:jc w:val="both"/>
        <w:ind w:firstLine="2496"/>
        <w:spacing w:after="0" w:line="255"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1"/>
          <w:szCs w:val="21"/>
          <w:u w:val="single" w:color="auto"/>
          <w:color w:val="auto"/>
        </w:rPr>
        <w:t>Tax Withholdings</w:t>
      </w:r>
      <w:r>
        <w:rPr>
          <w:rFonts w:ascii="Times New Roman" w:cs="Times New Roman" w:eastAsia="Times New Roman" w:hAnsi="Times New Roman"/>
          <w:sz w:val="21"/>
          <w:szCs w:val="21"/>
          <w:color w:val="auto"/>
        </w:rPr>
        <w:t>. The Company Group will have the right and authority to deduct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any Actual Award all 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3" w:name="page484"/>
    <w:bookmarkEnd w:id="483"/>
    <w:p>
      <w:pPr>
        <w:jc w:val="both"/>
        <w:ind w:firstLine="1663"/>
        <w:spacing w:after="0" w:line="255"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1"/>
          <w:szCs w:val="21"/>
          <w:u w:val="single" w:color="auto"/>
          <w:color w:val="auto"/>
        </w:rPr>
        <w:t>No Effect on Employment or Service</w:t>
      </w:r>
      <w:r>
        <w:rPr>
          <w:rFonts w:ascii="Times New Roman" w:cs="Times New Roman" w:eastAsia="Times New Roman" w:hAnsi="Times New Roman"/>
          <w:sz w:val="21"/>
          <w:szCs w:val="21"/>
          <w:color w:val="auto"/>
        </w:rPr>
        <w:t>. Neither the Plan nor any award under the Plan will confer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upon a Participant 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spacing w:after="0" w:line="162" w:lineRule="exact"/>
        <w:rPr>
          <w:sz w:val="20"/>
          <w:szCs w:val="20"/>
          <w:color w:val="auto"/>
        </w:rPr>
      </w:pPr>
    </w:p>
    <w:p>
      <w:pPr>
        <w:ind w:left="1680"/>
        <w:spacing w:after="0"/>
        <w:tabs>
          <w:tab w:leader="none" w:pos="25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1"/>
          <w:szCs w:val="21"/>
          <w:u w:val="single" w:color="auto"/>
          <w:color w:val="auto"/>
        </w:rPr>
        <w:t>Forfeiture Events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2496"/>
        <w:spacing w:after="0" w:line="246" w:lineRule="auto"/>
        <w:rPr>
          <w:sz w:val="20"/>
          <w:szCs w:val="20"/>
          <w:color w:val="auto"/>
        </w:rPr>
      </w:pPr>
      <w:r>
        <w:rPr>
          <w:rFonts w:ascii="Times New Roman" w:cs="Times New Roman" w:eastAsia="Times New Roman" w:hAnsi="Times New Roman"/>
          <w:sz w:val="20"/>
          <w:szCs w:val="20"/>
          <w:color w:val="auto"/>
        </w:rPr>
        <w:t xml:space="preserve">6.3.1 </w:t>
      </w:r>
      <w:r>
        <w:rPr>
          <w:rFonts w:ascii="Times New Roman" w:cs="Times New Roman" w:eastAsia="Times New Roman" w:hAnsi="Times New Roman"/>
          <w:sz w:val="21"/>
          <w:szCs w:val="21"/>
          <w:u w:val="single" w:color="auto"/>
          <w:color w:val="auto"/>
        </w:rPr>
        <w:t>Clawback Policy; Applicable Laws</w:t>
      </w:r>
      <w:r>
        <w:rPr>
          <w:rFonts w:ascii="Times New Roman" w:cs="Times New Roman" w:eastAsia="Times New Roman" w:hAnsi="Times New Roman"/>
          <w:sz w:val="21"/>
          <w:szCs w:val="21"/>
          <w:color w:val="auto"/>
        </w:rPr>
        <w:t>. All awards under the Plan will be subject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reduction, cancellation, forfeiture, or recoupment in accordance with any clawback policy that the Company Group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with respect to an award under the Plan as the Administrator determines necessary or appropriate, including without limitation a reacquisition right in respect of previously acquired cash, stock, or other property provided with respect to an award. Unless this Section 6.3.1 is specifically mentioned and waived in a written agreement between a Participant and a member of the Company Group or other document, no recovery of compensation under a clawback policy will give the Participant the right to resign for “good reason” or “constructive termination” (or similar term) under any agreement with a member of the Company Group.</w:t>
      </w:r>
    </w:p>
    <w:p>
      <w:pPr>
        <w:spacing w:after="0" w:line="171" w:lineRule="exact"/>
        <w:rPr>
          <w:sz w:val="20"/>
          <w:szCs w:val="20"/>
          <w:color w:val="auto"/>
        </w:rPr>
      </w:pPr>
    </w:p>
    <w:p>
      <w:pPr>
        <w:jc w:val="both"/>
        <w:ind w:firstLine="2496"/>
        <w:spacing w:after="0" w:line="249" w:lineRule="auto"/>
        <w:rPr>
          <w:sz w:val="20"/>
          <w:szCs w:val="20"/>
          <w:color w:val="auto"/>
        </w:rPr>
      </w:pPr>
      <w:r>
        <w:rPr>
          <w:rFonts w:ascii="Times New Roman" w:cs="Times New Roman" w:eastAsia="Times New Roman" w:hAnsi="Times New Roman"/>
          <w:sz w:val="20"/>
          <w:szCs w:val="20"/>
          <w:color w:val="auto"/>
        </w:rPr>
        <w:t xml:space="preserve">6.3.2 </w:t>
      </w:r>
      <w:r>
        <w:rPr>
          <w:rFonts w:ascii="Times New Roman" w:cs="Times New Roman" w:eastAsia="Times New Roman" w:hAnsi="Times New Roman"/>
          <w:sz w:val="21"/>
          <w:szCs w:val="21"/>
          <w:u w:val="single" w:color="auto"/>
          <w:color w:val="auto"/>
        </w:rPr>
        <w:t>Additional Forfeiture Terms</w:t>
      </w:r>
      <w:r>
        <w:rPr>
          <w:rFonts w:ascii="Times New Roman" w:cs="Times New Roman" w:eastAsia="Times New Roman" w:hAnsi="Times New Roman"/>
          <w:sz w:val="21"/>
          <w:szCs w:val="21"/>
          <w:color w:val="auto"/>
        </w:rPr>
        <w:t>. The Administrator may specify when providing for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award under 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w:t>
      </w:r>
    </w:p>
    <w:p>
      <w:pPr>
        <w:spacing w:after="0" w:line="171" w:lineRule="exact"/>
        <w:rPr>
          <w:sz w:val="20"/>
          <w:szCs w:val="20"/>
          <w:color w:val="auto"/>
        </w:rPr>
      </w:pPr>
    </w:p>
    <w:p>
      <w:pPr>
        <w:jc w:val="both"/>
        <w:ind w:firstLine="2496"/>
        <w:spacing w:after="0" w:line="247" w:lineRule="auto"/>
        <w:rPr>
          <w:sz w:val="20"/>
          <w:szCs w:val="20"/>
          <w:color w:val="auto"/>
        </w:rPr>
      </w:pPr>
      <w:r>
        <w:rPr>
          <w:rFonts w:ascii="Times New Roman" w:cs="Times New Roman" w:eastAsia="Times New Roman" w:hAnsi="Times New Roman"/>
          <w:sz w:val="20"/>
          <w:szCs w:val="20"/>
          <w:color w:val="auto"/>
        </w:rPr>
        <w:t xml:space="preserve">6.3.3 </w:t>
      </w:r>
      <w:r>
        <w:rPr>
          <w:rFonts w:ascii="Times New Roman" w:cs="Times New Roman" w:eastAsia="Times New Roman" w:hAnsi="Times New Roman"/>
          <w:sz w:val="21"/>
          <w:szCs w:val="21"/>
          <w:u w:val="single" w:color="auto"/>
          <w:color w:val="auto"/>
        </w:rPr>
        <w:t>Accounting Restatements</w:t>
      </w:r>
      <w:r>
        <w:rPr>
          <w:rFonts w:ascii="Times New Roman" w:cs="Times New Roman" w:eastAsia="Times New Roman" w:hAnsi="Times New Roman"/>
          <w:sz w:val="21"/>
          <w:szCs w:val="21"/>
          <w:color w:val="auto"/>
        </w:rPr>
        <w:t>. If the Company is required to prepare an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restatement due to the 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spacing w:after="0" w:line="172"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All obligations of the Company under the Plan, with respect to awards under the Plan,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will be binding on any successor to the Company, whether the existence of such successor is the result of a direct or indirect purchase, merger, consolidation, or otherwise, of all or substantially all of the business or assets of the Company.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4" w:name="page485"/>
    <w:bookmarkEnd w:id="484"/>
    <w:p>
      <w:pPr>
        <w:jc w:val="both"/>
        <w:ind w:firstLine="1663"/>
        <w:spacing w:after="0" w:line="256"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1"/>
          <w:szCs w:val="21"/>
          <w:u w:val="single" w:color="auto"/>
          <w:color w:val="auto"/>
        </w:rPr>
        <w:t>Nontransferability of Awards</w:t>
      </w:r>
      <w:r>
        <w:rPr>
          <w:rFonts w:ascii="Times New Roman" w:cs="Times New Roman" w:eastAsia="Times New Roman" w:hAnsi="Times New Roman"/>
          <w:sz w:val="21"/>
          <w:szCs w:val="21"/>
          <w:color w:val="auto"/>
        </w:rPr>
        <w:t>. No award under the Plan may be sold, transferred, pledged, assigned,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or otherwise alienated or hypothecated, other than by will or by the laws of descent and distribution, and except as provided in Section 5.3. All rights with respect to an award granted to a Participant will be available during his or her lifetime only to the Participant.</w:t>
      </w:r>
    </w:p>
    <w:p>
      <w:pPr>
        <w:spacing w:after="0" w:line="200" w:lineRule="exact"/>
        <w:rPr>
          <w:sz w:val="20"/>
          <w:szCs w:val="20"/>
          <w:color w:val="auto"/>
        </w:rPr>
      </w:pPr>
    </w:p>
    <w:p>
      <w:pPr>
        <w:spacing w:after="0" w:line="215" w:lineRule="exact"/>
        <w:rPr>
          <w:sz w:val="20"/>
          <w:szCs w:val="20"/>
          <w:color w:val="auto"/>
        </w:rPr>
      </w:pPr>
    </w:p>
    <w:p>
      <w:pPr>
        <w:ind w:left="1640" w:hanging="800"/>
        <w:spacing w:after="0"/>
        <w:tabs>
          <w:tab w:leader="none" w:pos="1640"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Amendment, Termination, and Duration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55"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1"/>
          <w:szCs w:val="21"/>
          <w:u w:val="single" w:color="auto"/>
          <w:color w:val="auto"/>
        </w:rPr>
        <w:t>Amendment, Suspension, or Termination</w:t>
      </w:r>
      <w:r>
        <w:rPr>
          <w:rFonts w:ascii="Times New Roman" w:cs="Times New Roman" w:eastAsia="Times New Roman" w:hAnsi="Times New Roman"/>
          <w:sz w:val="21"/>
          <w:szCs w:val="21"/>
          <w:color w:val="auto"/>
        </w:rPr>
        <w:t>. The Administrator may amend or terminate the Plan,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any part thereof, at any time and for any reason. The amendment, suspension or termination of the Plan will not, without the consent of the Participant, alter or impair any rights or obligations under any Actual Award earned by such Participant. No award may be granted during any period of suspension or after termination of the Plan.</w:t>
      </w:r>
    </w:p>
    <w:p>
      <w:pPr>
        <w:spacing w:after="0" w:line="162"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1"/>
          <w:szCs w:val="21"/>
          <w:u w:val="single" w:color="auto"/>
          <w:color w:val="auto"/>
        </w:rPr>
        <w:t>Duration of Plan</w:t>
      </w:r>
      <w:r>
        <w:rPr>
          <w:rFonts w:ascii="Times New Roman" w:cs="Times New Roman" w:eastAsia="Times New Roman" w:hAnsi="Times New Roman"/>
          <w:sz w:val="21"/>
          <w:szCs w:val="21"/>
          <w:color w:val="auto"/>
        </w:rPr>
        <w:t>. The Plan will commence on the date first adopted by the Board 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Compensation Committee of the Board, and subject to Section 7.1 (regarding the Administrator’s right to amend or terminate the Plan), will remain in effect thereafter until terminated.</w:t>
      </w:r>
    </w:p>
    <w:p>
      <w:pPr>
        <w:spacing w:after="0" w:line="157" w:lineRule="exact"/>
        <w:rPr>
          <w:sz w:val="20"/>
          <w:szCs w:val="20"/>
          <w:color w:val="auto"/>
        </w:rPr>
      </w:pPr>
    </w:p>
    <w:p>
      <w:pPr>
        <w:ind w:left="1640" w:hanging="800"/>
        <w:spacing w:after="0"/>
        <w:tabs>
          <w:tab w:leader="none" w:pos="164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Legal Construction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663"/>
        <w:spacing w:after="0" w:line="261"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1"/>
          <w:szCs w:val="21"/>
          <w:u w:val="single" w:color="auto"/>
          <w:color w:val="auto"/>
        </w:rPr>
        <w:t>Gender and Number</w:t>
      </w:r>
      <w:r>
        <w:rPr>
          <w:rFonts w:ascii="Times New Roman" w:cs="Times New Roman" w:eastAsia="Times New Roman" w:hAnsi="Times New Roman"/>
          <w:sz w:val="21"/>
          <w:szCs w:val="21"/>
          <w:color w:val="auto"/>
        </w:rPr>
        <w:t>. Unless otherwise indicated by the context, any feminine term used herein also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will include the masculine and any masculine term used herein also will include the feminine; the plural will include the singular and the singular will include the plural.</w:t>
      </w:r>
    </w:p>
    <w:p>
      <w:pPr>
        <w:spacing w:after="0" w:line="157" w:lineRule="exact"/>
        <w:rPr>
          <w:sz w:val="20"/>
          <w:szCs w:val="20"/>
          <w:color w:val="auto"/>
        </w:rPr>
      </w:pPr>
    </w:p>
    <w:p>
      <w:pPr>
        <w:jc w:val="both"/>
        <w:ind w:firstLine="1663"/>
        <w:spacing w:after="0" w:line="255"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the Plan is or becomes or is deemed to be invalid, illegal,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unenforceable for any 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spacing w:after="0" w:line="162" w:lineRule="exact"/>
        <w:rPr>
          <w:sz w:val="20"/>
          <w:szCs w:val="20"/>
          <w:color w:val="auto"/>
        </w:rPr>
      </w:pPr>
    </w:p>
    <w:p>
      <w:pPr>
        <w:jc w:val="both"/>
        <w:ind w:right="20" w:firstLine="1663"/>
        <w:spacing w:after="0" w:line="282"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Plan and all awards will be construed in accordance with and governed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laws of the State of Washington, but without regard to its conflict of law provisions.</w:t>
      </w:r>
    </w:p>
    <w:p>
      <w:pPr>
        <w:spacing w:after="0" w:line="135" w:lineRule="exact"/>
        <w:rPr>
          <w:sz w:val="20"/>
          <w:szCs w:val="20"/>
          <w:color w:val="auto"/>
        </w:rPr>
      </w:pPr>
    </w:p>
    <w:p>
      <w:pPr>
        <w:jc w:val="both"/>
        <w:ind w:firstLine="1663"/>
        <w:spacing w:after="0" w:line="280" w:lineRule="exact"/>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1"/>
          <w:szCs w:val="21"/>
          <w:u w:val="single" w:color="auto"/>
          <w:color w:val="auto"/>
        </w:rPr>
        <w:t>Bonus Plan</w:t>
      </w:r>
      <w:r>
        <w:rPr>
          <w:rFonts w:ascii="Times New Roman" w:cs="Times New Roman" w:eastAsia="Times New Roman" w:hAnsi="Times New Roman"/>
          <w:sz w:val="21"/>
          <w:szCs w:val="21"/>
          <w:color w:val="auto"/>
        </w:rPr>
        <w:t>. The Plan is intended to be a “bonus program” as defined under U.S. Department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Labor regulations section 2510.3</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2(c) and will be construed and administered in accordance with such intention.</w:t>
      </w:r>
    </w:p>
    <w:p>
      <w:pPr>
        <w:spacing w:after="0" w:line="156" w:lineRule="exact"/>
        <w:rPr>
          <w:sz w:val="20"/>
          <w:szCs w:val="20"/>
          <w:color w:val="auto"/>
        </w:rPr>
      </w:pPr>
    </w:p>
    <w:p>
      <w:pPr>
        <w:jc w:val="both"/>
        <w:ind w:right="20" w:firstLine="1663"/>
        <w:spacing w:after="0" w:line="282"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Headings are provided herein for convenience only, and will not serve as a basis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interpretation or construction of the Plan.</w:t>
      </w:r>
    </w:p>
    <w:p>
      <w:pPr>
        <w:spacing w:after="0" w:line="135" w:lineRule="exact"/>
        <w:rPr>
          <w:sz w:val="20"/>
          <w:szCs w:val="20"/>
          <w:color w:val="auto"/>
        </w:rPr>
      </w:pPr>
    </w:p>
    <w:p>
      <w:pPr>
        <w:jc w:val="both"/>
        <w:ind w:firstLine="840"/>
        <w:spacing w:after="0" w:line="244" w:lineRule="auto"/>
        <w:tabs>
          <w:tab w:leader="none" w:pos="1628"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Compliance with Applicable Laws</w:t>
      </w:r>
      <w:r>
        <w:rPr>
          <w:rFonts w:ascii="Times New Roman" w:cs="Times New Roman" w:eastAsia="Times New Roman" w:hAnsi="Times New Roman"/>
          <w:sz w:val="22"/>
          <w:szCs w:val="22"/>
          <w:color w:val="auto"/>
        </w:rPr>
        <w:t>. Awards under the Plan (including without limitation the granting of such awards) will be subject to all applicable laws, rules and regulations, and to such approvals by any governmental agencies or national securities exchanges as may be required.</w:t>
      </w:r>
    </w:p>
    <w:p>
      <w:pPr>
        <w:spacing w:after="0" w:line="173" w:lineRule="exact"/>
        <w:rPr>
          <w:rFonts w:ascii="Times New Roman" w:cs="Times New Roman" w:eastAsia="Times New Roman" w:hAnsi="Times New Roman"/>
          <w:sz w:val="20"/>
          <w:szCs w:val="20"/>
          <w:color w:val="auto"/>
        </w:rPr>
      </w:pPr>
    </w:p>
    <w:p>
      <w:pPr>
        <w:ind w:left="4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0"/>
          <w:szCs w:val="20"/>
          <w:color w:val="auto"/>
        </w:rPr>
      </w:pPr>
    </w:p>
    <w:p>
      <w:pPr>
        <w:ind w:left="5580" w:hanging="136"/>
        <w:spacing w:after="0"/>
        <w:tabs>
          <w:tab w:leader="none" w:pos="5580" w:val="left"/>
        </w:tabs>
        <w:numPr>
          <w:ilvl w:val="2"/>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544" w:right="339" w:bottom="1440" w:gutter="0" w:footer="0" w:header="0"/>
        </w:sectPr>
      </w:pPr>
    </w:p>
    <w:bookmarkStart w:id="485" w:name="page486"/>
    <w:bookmarkEnd w:id="485"/>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107950</wp:posOffset>
            </wp:positionV>
            <wp:extent cx="7037705" cy="62611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9">
                      <a:extLst>
                        <a:ext uri="{28A0092B-C50C-407E-A947-70E740481C1C}"/>
                      </a:extLst>
                    </a:blip>
                    <a:srcRect/>
                    <a:stretch>
                      <a:fillRect/>
                    </a:stretch>
                  </pic:blipFill>
                  <pic:spPr bwMode="auto">
                    <a:xfrm>
                      <a:off x="0" y="0"/>
                      <a:ext cx="7037705" cy="6261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8, 2020</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Leen Kawas, Ph.D.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Via Email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Confirmatory Employment Letter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Leen:</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confirmatory employment letter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Leen Kawas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and Athira 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we</w:t>
      </w:r>
      <w:r>
        <w:rPr>
          <w:rFonts w:ascii="Times New Roman" w:cs="Times New Roman" w:eastAsia="Times New Roman" w:hAnsi="Times New Roman"/>
          <w:sz w:val="22"/>
          <w:szCs w:val="22"/>
          <w:color w:val="auto"/>
        </w:rPr>
        <w:t>”), effective as of September 8,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to confirm the terms and conditions of your employment with the Company as of the Effective Date.</w:t>
      </w:r>
    </w:p>
    <w:p>
      <w:pPr>
        <w:spacing w:after="0" w:line="173" w:lineRule="exact"/>
        <w:rPr>
          <w:sz w:val="20"/>
          <w:szCs w:val="20"/>
          <w:color w:val="auto"/>
        </w:rPr>
      </w:pPr>
    </w:p>
    <w:p>
      <w:pPr>
        <w:jc w:val="both"/>
        <w:ind w:left="860" w:hanging="784"/>
        <w:spacing w:after="0" w:line="234" w:lineRule="auto"/>
        <w:tabs>
          <w:tab w:leader="none" w:pos="84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u w:val="single" w:color="auto"/>
          <w:color w:val="auto"/>
        </w:rPr>
        <w:t>Title; Position</w:t>
      </w:r>
      <w:r>
        <w:rPr>
          <w:rFonts w:ascii="Times New Roman" w:cs="Times New Roman" w:eastAsia="Times New Roman" w:hAnsi="Times New Roman"/>
          <w:sz w:val="22"/>
          <w:szCs w:val="22"/>
          <w:color w:val="auto"/>
        </w:rPr>
        <w:t>. You will continue to serve as the Company’s Chief Executive Officer. You also will continue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report to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will perform the duties and responsibilities customary for such position and such other related duties as are reasonably assigned by the Company’s Board. While you render services to the Company, you will not engage in any other employment, occupation, or consulting activity for any direct or indirect remuneration or otherwise without the prior written approval of the Board. You may engage in charitable and community activities as well as own, as a passive investment, less than two percent (2%) of the capital stock of any corporation listed on the national securities exchange or publicly traded in the over-the-counter market, as long as such activities do not interfere with the performance of your duties under this Agreement. By signing this Agreement, you confirm that you have no contractual commitments or other legal obligations that would prohibit you from performing your duties for the Company.</w:t>
      </w:r>
    </w:p>
    <w:p>
      <w:pPr>
        <w:spacing w:after="0" w:line="179" w:lineRule="exact"/>
        <w:rPr>
          <w:sz w:val="20"/>
          <w:szCs w:val="20"/>
          <w:color w:val="auto"/>
        </w:rPr>
      </w:pPr>
    </w:p>
    <w:p>
      <w:pPr>
        <w:jc w:val="both"/>
        <w:ind w:left="860" w:hanging="784"/>
        <w:spacing w:after="0" w:line="239" w:lineRule="auto"/>
        <w:tabs>
          <w:tab w:leader="none" w:pos="84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You will perform your duties from the Company’s corporate offices located in Seattle, Washington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80" w:lineRule="exact"/>
        <w:rPr>
          <w:sz w:val="20"/>
          <w:szCs w:val="20"/>
          <w:color w:val="auto"/>
        </w:rPr>
      </w:pPr>
    </w:p>
    <w:p>
      <w:pPr>
        <w:jc w:val="both"/>
        <w:ind w:left="860" w:hanging="784"/>
        <w:spacing w:after="0" w:line="239" w:lineRule="auto"/>
        <w:tabs>
          <w:tab w:leader="none" w:pos="8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your annual base salary will be $285,000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which will be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payable, less any applicable withholdings, in accordance with the Company’s normal payroll practices. Our Board has approved that, provided you remain employed through the Company’s initial public offering, your Salary will be increased to $510,000 effective as of the effective date of the Company’s registration statement relating to such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6" w:name="page487"/>
    <w:bookmarkEnd w:id="486"/>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 MASON RD</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SUITE 300, BOX 352141</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SEATTLE, WA 98195-2141</w:t>
            </w:r>
          </w:p>
        </w:tc>
        <w:tc>
          <w:tcPr>
            <w:tcW w:w="0" w:type="dxa"/>
            <w:vAlign w:val="bottom"/>
          </w:tcPr>
          <w:p>
            <w:pPr>
              <w:spacing w:after="0"/>
              <w:rPr>
                <w:sz w:val="1"/>
                <w:szCs w:val="1"/>
                <w:color w:val="auto"/>
              </w:rPr>
            </w:pPr>
          </w:p>
        </w:tc>
      </w:tr>
      <w:tr>
        <w:trPr>
          <w:trHeight w:val="44"/>
        </w:trPr>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356699"/>
            </w:tcBorders>
          </w:tcPr>
          <w:p>
            <w:pPr>
              <w:spacing w:after="0"/>
              <w:rPr>
                <w:sz w:val="3"/>
                <w:szCs w:val="3"/>
                <w:color w:val="auto"/>
              </w:rPr>
            </w:pPr>
          </w:p>
        </w:tc>
        <w:tc>
          <w:tcPr>
            <w:tcW w:w="160" w:type="dxa"/>
            <w:vAlign w:val="bottom"/>
            <w:tcBorders>
              <w:bottom w:val="single" w:sz="8" w:color="356699"/>
            </w:tcBorders>
          </w:tcPr>
          <w:p>
            <w:pPr>
              <w:spacing w:after="0"/>
              <w:rPr>
                <w:sz w:val="3"/>
                <w:szCs w:val="3"/>
                <w:color w:val="auto"/>
              </w:rPr>
            </w:pPr>
          </w:p>
        </w:tc>
        <w:tc>
          <w:tcPr>
            <w:tcW w:w="720" w:type="dxa"/>
            <w:vAlign w:val="bottom"/>
            <w:tcBorders>
              <w:bottom w:val="single" w:sz="8" w:color="356699"/>
            </w:tcBorders>
          </w:tcPr>
          <w:p>
            <w:pPr>
              <w:spacing w:after="0"/>
              <w:rPr>
                <w:sz w:val="3"/>
                <w:szCs w:val="3"/>
                <w:color w:val="auto"/>
              </w:rPr>
            </w:pPr>
          </w:p>
        </w:tc>
        <w:tc>
          <w:tcPr>
            <w:tcW w:w="360" w:type="dxa"/>
            <w:vAlign w:val="bottom"/>
            <w:tcBorders>
              <w:bottom w:val="single" w:sz="8" w:color="356699"/>
            </w:tcBorders>
          </w:tcPr>
          <w:p>
            <w:pPr>
              <w:spacing w:after="0"/>
              <w:rPr>
                <w:sz w:val="3"/>
                <w:szCs w:val="3"/>
                <w:color w:val="auto"/>
              </w:rPr>
            </w:pPr>
          </w:p>
        </w:tc>
        <w:tc>
          <w:tcPr>
            <w:tcW w:w="40" w:type="dxa"/>
            <w:vAlign w:val="bottom"/>
            <w:tcBorders>
              <w:bottom w:val="single" w:sz="8" w:color="356699"/>
            </w:tcBorders>
          </w:tcPr>
          <w:p>
            <w:pPr>
              <w:spacing w:after="0"/>
              <w:rPr>
                <w:sz w:val="3"/>
                <w:szCs w:val="3"/>
                <w:color w:val="auto"/>
              </w:rPr>
            </w:pPr>
          </w:p>
        </w:tc>
        <w:tc>
          <w:tcPr>
            <w:tcW w:w="420" w:type="dxa"/>
            <w:vAlign w:val="bottom"/>
            <w:tcBorders>
              <w:bottom w:val="single" w:sz="8" w:color="356699"/>
            </w:tcBorders>
          </w:tcPr>
          <w:p>
            <w:pPr>
              <w:spacing w:after="0"/>
              <w:rPr>
                <w:sz w:val="3"/>
                <w:szCs w:val="3"/>
                <w:color w:val="auto"/>
              </w:rPr>
            </w:pPr>
          </w:p>
        </w:tc>
        <w:tc>
          <w:tcPr>
            <w:tcW w:w="1380" w:type="dxa"/>
            <w:vAlign w:val="bottom"/>
            <w:tcBorders>
              <w:bottom w:val="single" w:sz="8" w:color="356699"/>
            </w:tcBorders>
          </w:tcPr>
          <w:p>
            <w:pPr>
              <w:spacing w:after="0"/>
              <w:rPr>
                <w:sz w:val="3"/>
                <w:szCs w:val="3"/>
                <w:color w:val="auto"/>
              </w:rPr>
            </w:pPr>
          </w:p>
        </w:tc>
        <w:tc>
          <w:tcPr>
            <w:tcW w:w="960" w:type="dxa"/>
            <w:vAlign w:val="bottom"/>
            <w:tcBorders>
              <w:bottom w:val="single" w:sz="8" w:color="356699"/>
            </w:tcBorders>
          </w:tcPr>
          <w:p>
            <w:pPr>
              <w:spacing w:after="0"/>
              <w:rPr>
                <w:sz w:val="3"/>
                <w:szCs w:val="3"/>
                <w:color w:val="auto"/>
              </w:rPr>
            </w:pPr>
          </w:p>
        </w:tc>
        <w:tc>
          <w:tcPr>
            <w:tcW w:w="4640" w:type="dxa"/>
            <w:vAlign w:val="bottom"/>
            <w:tcBorders>
              <w:bottom w:val="single" w:sz="8" w:color="356699"/>
            </w:tcBorders>
          </w:tcPr>
          <w:p>
            <w:pPr>
              <w:spacing w:after="0"/>
              <w:rPr>
                <w:sz w:val="3"/>
                <w:szCs w:val="3"/>
                <w:color w:val="auto"/>
              </w:rPr>
            </w:pPr>
          </w:p>
        </w:tc>
        <w:tc>
          <w:tcPr>
            <w:tcW w:w="900" w:type="dxa"/>
            <w:vAlign w:val="bottom"/>
            <w:tcBorders>
              <w:bottom w:val="single" w:sz="8" w:color="356699"/>
            </w:tcBorders>
          </w:tcPr>
          <w:p>
            <w:pPr>
              <w:spacing w:after="0"/>
              <w:rPr>
                <w:sz w:val="3"/>
                <w:szCs w:val="3"/>
                <w:color w:val="auto"/>
              </w:rPr>
            </w:pPr>
          </w:p>
        </w:tc>
        <w:tc>
          <w:tcPr>
            <w:tcW w:w="0" w:type="dxa"/>
            <w:vAlign w:val="bottom"/>
          </w:tcPr>
          <w:p>
            <w:pPr>
              <w:spacing w:after="0"/>
              <w:rPr>
                <w:sz w:val="1"/>
                <w:szCs w:val="1"/>
                <w:color w:val="auto"/>
              </w:rPr>
            </w:pPr>
          </w:p>
        </w:tc>
      </w:tr>
      <w:tr>
        <w:trPr>
          <w:trHeight w:val="648"/>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rPr>
              <w:t>public offering. Your annual base salary will be subject to review and adjustment from time to time by our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0700" w:type="dxa"/>
            <w:vAlign w:val="bottom"/>
            <w:gridSpan w:val="12"/>
          </w:tcPr>
          <w:p>
            <w:pPr>
              <w:ind w:left="320"/>
              <w:spacing w:after="0" w:line="230" w:lineRule="exact"/>
              <w:rPr>
                <w:sz w:val="20"/>
                <w:szCs w:val="20"/>
                <w:color w:val="auto"/>
              </w:rPr>
            </w:pPr>
            <w:r>
              <w:rPr>
                <w:rFonts w:ascii="Times New Roman" w:cs="Times New Roman" w:eastAsia="Times New Roman" w:hAnsi="Times New Roman"/>
                <w:sz w:val="22"/>
                <w:szCs w:val="22"/>
                <w:color w:val="auto"/>
              </w:rPr>
              <w:t>Board or its Compensation Committee (the “Committee”), as applicable, in its sole discretion.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w w:val="98"/>
              </w:rPr>
              <w:t>Annual Bonus. For the Company’s 2020 fiscal year, you will have the opportunity to earn a target annual cash</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10700" w:type="dxa"/>
            <w:vAlign w:val="bottom"/>
            <w:gridSpan w:val="12"/>
          </w:tcPr>
          <w:p>
            <w:pPr>
              <w:ind w:left="320"/>
              <w:spacing w:after="0" w:line="236" w:lineRule="exact"/>
              <w:rPr>
                <w:sz w:val="20"/>
                <w:szCs w:val="20"/>
                <w:color w:val="auto"/>
              </w:rPr>
            </w:pPr>
            <w:r>
              <w:rPr>
                <w:rFonts w:ascii="Times New Roman" w:cs="Times New Roman" w:eastAsia="Times New Roman" w:hAnsi="Times New Roman"/>
                <w:sz w:val="22"/>
                <w:szCs w:val="22"/>
                <w:color w:val="auto"/>
              </w:rPr>
              <w:t>bonus equal to fifty percent (50%) of your annual base salary, based on achieving performance objectives established</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by the Board or the Committee, as applicable, in its sole discretion and payable upon achievement of those objectives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as determined by the Committee. Unless determined otherwise by the Board or Committee, as applicable, any such</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bonus will be subject to your continued employment through and until the date of payment, and any such bonus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amounts paid will be subject to any applicable withholdings. Your annual bonus opportunity and the applicable terms</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w w:val="99"/>
              </w:rPr>
              <w:t>and conditions may be adjusted from time to time by our Board or the Committee, as applicable, in its sole discretion.</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w w:val="98"/>
              </w:rPr>
              <w:t>Equity Awards. You will be eligible to receive awards of stock options or other equity awards pursuant to any</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22"/>
                <w:szCs w:val="22"/>
                <w:color w:val="auto"/>
              </w:rPr>
              <w:t>plans or</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9580" w:type="dxa"/>
            <w:vAlign w:val="bottom"/>
            <w:gridSpan w:val="9"/>
          </w:tcPr>
          <w:p>
            <w:pPr>
              <w:jc w:val="right"/>
              <w:spacing w:after="0" w:line="236" w:lineRule="exact"/>
              <w:rPr>
                <w:sz w:val="20"/>
                <w:szCs w:val="20"/>
                <w:color w:val="auto"/>
              </w:rPr>
            </w:pPr>
            <w:r>
              <w:rPr>
                <w:rFonts w:ascii="Times New Roman" w:cs="Times New Roman" w:eastAsia="Times New Roman" w:hAnsi="Times New Roman"/>
                <w:sz w:val="22"/>
                <w:szCs w:val="22"/>
                <w:color w:val="auto"/>
                <w:w w:val="98"/>
              </w:rPr>
              <w:t>arrangements the Company may have in effect from time to time. The Board or Committee, as applicable, will</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determine in its sole discretion whether you will be granted any such equity awards and the terms of any such award in</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rPr>
              <w:t>accordance with the terms of any applicable plan or arrangement that may be in effect from time to time.</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rPr>
              <w:t>Employee Benefits.  You will continue to be eligible to participate in the benefit plans and programs</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1120" w:type="dxa"/>
            <w:vAlign w:val="bottom"/>
            <w:gridSpan w:val="3"/>
          </w:tcPr>
          <w:p>
            <w:pPr>
              <w:ind w:left="320"/>
              <w:spacing w:after="0" w:line="236" w:lineRule="exact"/>
              <w:rPr>
                <w:sz w:val="20"/>
                <w:szCs w:val="20"/>
                <w:color w:val="auto"/>
              </w:rPr>
            </w:pPr>
            <w:r>
              <w:rPr>
                <w:rFonts w:ascii="Times New Roman" w:cs="Times New Roman" w:eastAsia="Times New Roman" w:hAnsi="Times New Roman"/>
                <w:sz w:val="22"/>
                <w:szCs w:val="22"/>
                <w:color w:val="auto"/>
                <w:w w:val="79"/>
              </w:rPr>
              <w:t>established</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ind w:left="80"/>
              <w:spacing w:after="0" w:line="236" w:lineRule="exact"/>
              <w:rPr>
                <w:sz w:val="20"/>
                <w:szCs w:val="20"/>
                <w:color w:val="auto"/>
              </w:rPr>
            </w:pPr>
            <w:r>
              <w:rPr>
                <w:rFonts w:ascii="Times New Roman" w:cs="Times New Roman" w:eastAsia="Times New Roman" w:hAnsi="Times New Roman"/>
                <w:sz w:val="22"/>
                <w:szCs w:val="22"/>
                <w:color w:val="auto"/>
                <w:w w:val="98"/>
              </w:rPr>
              <w:t>by the Company</w:t>
            </w:r>
          </w:p>
        </w:tc>
        <w:tc>
          <w:tcPr>
            <w:tcW w:w="78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2"/>
                <w:szCs w:val="22"/>
                <w:color w:val="auto"/>
              </w:rPr>
              <w:t>for its employees from time to time, subject to their applicable terms and conditions,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including without limitation any eligibility requirements. The Company will reimburse you for reasonable travel or</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other expenses incurred by you in the furtherance of or in connection with the performance of your duties under this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Agreement, pursuant to the terms of the Company’s expense reimbursement policy as may be in effect from time to</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time.  The Company reserves the right to modify, amend, suspend or terminate the benefit plans, programs, and</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rPr>
              <w:t>arrangements it offers to its employees at any time.</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rPr>
              <w:t>Severance. You will be eligible to enter into a Change in Control and Severance Agreement (the “Severance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79"/>
              </w:rPr>
              <w:t>Agreement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0" w:type="dxa"/>
            <w:vAlign w:val="bottom"/>
            <w:gridSpan w:val="6"/>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42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2"/>
                <w:szCs w:val="22"/>
                <w:color w:val="auto"/>
              </w:rPr>
              <w:t>”) applicable to you based on your position within the Company. Any Severance Agreement will become</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w w:val="93"/>
              </w:rPr>
              <w:t>effective as</w:t>
            </w:r>
          </w:p>
        </w:tc>
        <w:tc>
          <w:tcPr>
            <w:tcW w:w="9420" w:type="dxa"/>
            <w:vAlign w:val="bottom"/>
            <w:gridSpan w:val="8"/>
          </w:tcPr>
          <w:p>
            <w:pPr>
              <w:jc w:val="right"/>
              <w:spacing w:after="0" w:line="236" w:lineRule="exact"/>
              <w:rPr>
                <w:sz w:val="20"/>
                <w:szCs w:val="20"/>
                <w:color w:val="auto"/>
              </w:rPr>
            </w:pPr>
            <w:r>
              <w:rPr>
                <w:rFonts w:ascii="Times New Roman" w:cs="Times New Roman" w:eastAsia="Times New Roman" w:hAnsi="Times New Roman"/>
                <w:sz w:val="22"/>
                <w:szCs w:val="22"/>
                <w:color w:val="auto"/>
                <w:w w:val="99"/>
              </w:rPr>
              <w:t>of the business day immediately prior to the effective date of the Company’s registration statement relating</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to the Company’s initial public offering. The Severance Agreement will specify the severance payments and benefits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you may become entitled to receive in connection with a change in control of the Company as well as certain qualifying</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terminations of your employment with the Company.  For purposes of clarity, other than any vesting acceleration</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benefits set forth in the Company’s 2014 Equity Incentive Plan and the award agreements thereunder governing the</w:t>
            </w:r>
          </w:p>
        </w:tc>
        <w:tc>
          <w:tcPr>
            <w:tcW w:w="0" w:type="dxa"/>
            <w:vAlign w:val="bottom"/>
          </w:tcPr>
          <w:p>
            <w:pPr>
              <w:spacing w:after="0"/>
              <w:rPr>
                <w:sz w:val="1"/>
                <w:szCs w:val="1"/>
                <w:color w:val="auto"/>
              </w:rPr>
            </w:pPr>
          </w:p>
        </w:tc>
      </w:tr>
      <w:tr>
        <w:trPr>
          <w:trHeight w:val="267"/>
        </w:trPr>
        <w:tc>
          <w:tcPr>
            <w:tcW w:w="460" w:type="dxa"/>
            <w:vAlign w:val="bottom"/>
          </w:tcPr>
          <w:p>
            <w:pPr>
              <w:spacing w:after="0"/>
              <w:rPr>
                <w:sz w:val="23"/>
                <w:szCs w:val="23"/>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rPr>
              <w:t>terms of your stock options to purchase shares of Company common stock granted thereunder (to the extent not</w:t>
            </w:r>
          </w:p>
        </w:tc>
        <w:tc>
          <w:tcPr>
            <w:tcW w:w="0" w:type="dxa"/>
            <w:vAlign w:val="bottom"/>
          </w:tcPr>
          <w:p>
            <w:pPr>
              <w:spacing w:after="0"/>
              <w:rPr>
                <w:sz w:val="1"/>
                <w:szCs w:val="1"/>
                <w:color w:val="auto"/>
              </w:rPr>
            </w:pPr>
          </w:p>
        </w:tc>
      </w:tr>
    </w:tbl>
    <w:p>
      <w:pPr>
        <w:jc w:val="both"/>
        <w:ind w:left="78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302260</wp:posOffset>
            </wp:positionH>
            <wp:positionV relativeFrom="page">
              <wp:posOffset>131445</wp:posOffset>
            </wp:positionV>
            <wp:extent cx="1234440" cy="6172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t>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79375</wp:posOffset>
            </wp:positionV>
            <wp:extent cx="7149465"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630" w:right="339" w:bottom="1440" w:gutter="0" w:footer="0" w:header="0"/>
        </w:sectPr>
      </w:pPr>
    </w:p>
    <w:bookmarkStart w:id="487" w:name="page488"/>
    <w:bookmarkEnd w:id="487"/>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131445</wp:posOffset>
            </wp:positionV>
            <wp:extent cx="7037705" cy="6261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3">
                      <a:extLst>
                        <a:ext uri="{28A0092B-C50C-407E-A947-70E740481C1C}"/>
                      </a:extLst>
                    </a:blip>
                    <a:srcRect/>
                    <a:stretch>
                      <a:fillRect/>
                    </a:stretch>
                  </pic:blipFill>
                  <pic:spPr bwMode="auto">
                    <a:xfrm>
                      <a:off x="0" y="0"/>
                      <a:ext cx="7037705" cy="626110"/>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80" w:lineRule="exact"/>
        <w:rPr>
          <w:sz w:val="20"/>
          <w:szCs w:val="20"/>
          <w:color w:val="auto"/>
        </w:rPr>
      </w:pPr>
    </w:p>
    <w:p>
      <w:pPr>
        <w:jc w:val="both"/>
        <w:ind w:left="780" w:hanging="784"/>
        <w:spacing w:after="0" w:line="238" w:lineRule="auto"/>
        <w:tabs>
          <w:tab w:leader="none" w:pos="76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As an employee of the Company, you will continue to have access to certain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confidential information of the Company and you may, during the course of your employment, develop certain information or inventions that will be the property of the Company. To protect the interests of the Company, you agree to enter into a Proprietary Information and Inventions Assignment Agreement with the Company in substantially the 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780" w:hanging="784"/>
        <w:spacing w:after="0" w:line="253" w:lineRule="exact"/>
        <w:tabs>
          <w:tab w:leader="none" w:pos="760" w:val="left"/>
        </w:tabs>
        <w:rPr>
          <w:sz w:val="20"/>
          <w:szCs w:val="20"/>
          <w:color w:val="auto"/>
        </w:rPr>
      </w:pPr>
      <w:r>
        <w:rPr>
          <w:rFonts w:ascii="Times New Roman" w:cs="Times New Roman" w:eastAsia="Times New Roman" w:hAnsi="Times New Roman"/>
          <w:sz w:val="22"/>
          <w:szCs w:val="22"/>
          <w:color w:val="auto"/>
        </w:rPr>
        <w:t>9.</w:t>
      </w:r>
      <w:r>
        <w:rPr>
          <w:sz w:val="20"/>
          <w:szCs w:val="20"/>
          <w:color w:val="auto"/>
        </w:rPr>
        <w:tab/>
      </w: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This Agreement does not imply any right to your continued employment for any period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the Company or any parent, subsidiary, or affiliate of the Company. Your employment with the Company is and will continue to be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0" w:lineRule="exact"/>
        <w:rPr>
          <w:sz w:val="20"/>
          <w:szCs w:val="20"/>
          <w:color w:val="auto"/>
        </w:rPr>
      </w:pPr>
    </w:p>
    <w:p>
      <w:pPr>
        <w:jc w:val="both"/>
        <w:ind w:left="780" w:hanging="784"/>
        <w:spacing w:after="0" w:line="233" w:lineRule="auto"/>
        <w:tabs>
          <w:tab w:leader="none" w:pos="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u w:val="single" w:color="auto"/>
          <w:color w:val="auto"/>
        </w:rPr>
        <w:t>Protected Activity Not Prohibited</w:t>
      </w:r>
      <w:r>
        <w:rPr>
          <w:rFonts w:ascii="Times New Roman" w:cs="Times New Roman" w:eastAsia="Times New Roman" w:hAnsi="Times New Roman"/>
          <w:sz w:val="22"/>
          <w:szCs w:val="22"/>
          <w:color w:val="auto"/>
        </w:rPr>
        <w:t>. The Company and you acknowledge and agree that nothing in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780" w:hanging="784"/>
        <w:spacing w:after="0" w:line="235" w:lineRule="auto"/>
        <w:tabs>
          <w:tab w:leader="none" w:pos="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Agreement, together with the Confidentiality Agreement, the Severance Agreement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stock options granted to you by the Company under its 2014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Washington but without regard to the conflict of law provision. This Agreement may be modified only by a written agreement signed by a duly authorized officer of the Company (other than yourself) and you.</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79375</wp:posOffset>
            </wp:positionV>
            <wp:extent cx="714946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643" w:right="339" w:bottom="1440" w:gutter="0" w:footer="0" w:header="0"/>
        </w:sectPr>
      </w:pPr>
    </w:p>
    <w:bookmarkStart w:id="488" w:name="page489"/>
    <w:bookmarkEnd w:id="488"/>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131445</wp:posOffset>
            </wp:positionV>
            <wp:extent cx="7037705" cy="6261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5">
                      <a:extLst>
                        <a:ext uri="{28A0092B-C50C-407E-A947-70E740481C1C}"/>
                      </a:extLst>
                    </a:blip>
                    <a:srcRect/>
                    <a:stretch>
                      <a:fillRect/>
                    </a:stretch>
                  </pic:blipFill>
                  <pic:spPr bwMode="auto">
                    <a:xfrm>
                      <a:off x="0" y="0"/>
                      <a:ext cx="7037705" cy="626110"/>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confirm the current terms and conditions of your employment, please sign and date in the spaces indicated and return this Agreement to me.</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06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6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Mark Litton</w:t>
            </w:r>
          </w:p>
        </w:tc>
      </w:tr>
      <w:tr>
        <w:trPr>
          <w:trHeight w:val="236"/>
        </w:trPr>
        <w:tc>
          <w:tcPr>
            <w:tcW w:w="360" w:type="dxa"/>
            <w:vAlign w:val="bottom"/>
          </w:tcPr>
          <w:p>
            <w:pPr>
              <w:spacing w:after="0"/>
              <w:rPr>
                <w:sz w:val="20"/>
                <w:szCs w:val="20"/>
                <w:color w:val="auto"/>
              </w:rPr>
            </w:pPr>
          </w:p>
        </w:tc>
        <w:tc>
          <w:tcPr>
            <w:tcW w:w="660" w:type="dxa"/>
            <w:vAlign w:val="bottom"/>
          </w:tcPr>
          <w:p>
            <w:pPr>
              <w:ind w:left="60"/>
              <w:spacing w:after="0" w:line="236" w:lineRule="exact"/>
              <w:rPr>
                <w:sz w:val="20"/>
                <w:szCs w:val="20"/>
                <w:color w:val="auto"/>
              </w:rPr>
            </w:pPr>
            <w:r>
              <w:rPr>
                <w:rFonts w:ascii="Times New Roman" w:cs="Times New Roman" w:eastAsia="Times New Roman" w:hAnsi="Times New Roman"/>
                <w:sz w:val="22"/>
                <w:szCs w:val="22"/>
                <w:color w:val="auto"/>
              </w:rPr>
              <w:t>Mark</w:t>
            </w:r>
          </w:p>
        </w:tc>
        <w:tc>
          <w:tcPr>
            <w:tcW w:w="130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Litton</w:t>
            </w:r>
          </w:p>
        </w:tc>
        <w:tc>
          <w:tcPr>
            <w:tcW w:w="180" w:type="dxa"/>
            <w:vAlign w:val="bottom"/>
          </w:tcPr>
          <w:p>
            <w:pPr>
              <w:spacing w:after="0"/>
              <w:rPr>
                <w:sz w:val="20"/>
                <w:szCs w:val="20"/>
                <w:color w:val="auto"/>
              </w:rPr>
            </w:pPr>
          </w:p>
        </w:tc>
      </w:tr>
      <w:tr>
        <w:trPr>
          <w:trHeight w:val="282"/>
        </w:trPr>
        <w:tc>
          <w:tcPr>
            <w:tcW w:w="360" w:type="dxa"/>
            <w:vAlign w:val="bottom"/>
          </w:tcPr>
          <w:p>
            <w:pPr>
              <w:spacing w:after="0"/>
              <w:rPr>
                <w:sz w:val="24"/>
                <w:szCs w:val="24"/>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Chief Operating Officer</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Leen Kawas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Leen Kawas, Ph.D.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September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89" w:name="page490"/>
    <w:bookmarkEnd w:id="489"/>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131445</wp:posOffset>
            </wp:positionV>
            <wp:extent cx="7037705" cy="6261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7">
                      <a:extLst>
                        <a:ext uri="{28A0092B-C50C-407E-A947-70E740481C1C}"/>
                      </a:extLst>
                    </a:blip>
                    <a:srcRect/>
                    <a:stretch>
                      <a:fillRect/>
                    </a:stretch>
                  </pic:blipFill>
                  <pic:spPr bwMode="auto">
                    <a:xfrm>
                      <a:off x="0" y="0"/>
                      <a:ext cx="7037705" cy="626110"/>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Proprietary Information and Inventions Assignment Agreement</w:t>
      </w: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643" w:right="339" w:bottom="1440" w:gutter="0" w:footer="0" w:header="0"/>
        </w:sectPr>
      </w:pPr>
    </w:p>
    <w:bookmarkStart w:id="490" w:name="page491"/>
    <w:bookmarkEnd w:id="490"/>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131445</wp:posOffset>
            </wp:positionV>
            <wp:extent cx="7037705" cy="6261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9">
                      <a:extLst>
                        <a:ext uri="{28A0092B-C50C-407E-A947-70E740481C1C}"/>
                      </a:extLst>
                    </a:blip>
                    <a:srcRect/>
                    <a:stretch>
                      <a:fillRect/>
                    </a:stretch>
                  </pic:blipFill>
                  <pic:spPr bwMode="auto">
                    <a:xfrm>
                      <a:off x="0" y="0"/>
                      <a:ext cx="7037705" cy="626110"/>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 of the Defend Trade Secrets Act of 2016</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643" w:right="339" w:bottom="1440" w:gutter="0" w:footer="0" w:header="0"/>
        </w:sectPr>
      </w:pPr>
    </w:p>
    <w:bookmarkStart w:id="491" w:name="page492"/>
    <w:bookmarkEnd w:id="491"/>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107950</wp:posOffset>
            </wp:positionV>
            <wp:extent cx="7037705" cy="6261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0">
                      <a:extLst>
                        <a:ext uri="{28A0092B-C50C-407E-A947-70E740481C1C}"/>
                      </a:extLst>
                    </a:blip>
                    <a:srcRect/>
                    <a:stretch>
                      <a:fillRect/>
                    </a:stretch>
                  </pic:blipFill>
                  <pic:spPr bwMode="auto">
                    <a:xfrm>
                      <a:off x="0" y="0"/>
                      <a:ext cx="7037705" cy="6261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8,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Litton, Ph.D.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Via Email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Confirmatory Employment Letter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Mark:</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confirmatory employment letter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Mark Litton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and Athira 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we</w:t>
      </w:r>
      <w:r>
        <w:rPr>
          <w:rFonts w:ascii="Times New Roman" w:cs="Times New Roman" w:eastAsia="Times New Roman" w:hAnsi="Times New Roman"/>
          <w:sz w:val="22"/>
          <w:szCs w:val="22"/>
          <w:color w:val="auto"/>
        </w:rPr>
        <w:t>”), effective as of September 8,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to confirm the terms and conditions of your employment with the Company as of the Effective Date.</w:t>
      </w:r>
    </w:p>
    <w:p>
      <w:pPr>
        <w:spacing w:after="0" w:line="173" w:lineRule="exact"/>
        <w:rPr>
          <w:sz w:val="20"/>
          <w:szCs w:val="20"/>
          <w:color w:val="auto"/>
        </w:rPr>
      </w:pPr>
    </w:p>
    <w:p>
      <w:pPr>
        <w:jc w:val="both"/>
        <w:ind w:left="860" w:hanging="784"/>
        <w:spacing w:after="0" w:line="234" w:lineRule="auto"/>
        <w:tabs>
          <w:tab w:leader="none" w:pos="84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u w:val="single" w:color="auto"/>
          <w:color w:val="auto"/>
        </w:rPr>
        <w:t>Title; Position</w:t>
      </w:r>
      <w:r>
        <w:rPr>
          <w:rFonts w:ascii="Times New Roman" w:cs="Times New Roman" w:eastAsia="Times New Roman" w:hAnsi="Times New Roman"/>
          <w:sz w:val="22"/>
          <w:szCs w:val="22"/>
          <w:color w:val="auto"/>
        </w:rPr>
        <w:t>. You will continue to serve as the Company’s Chief Operating Officer. You also will continue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report to the Company’s Chief Executive Officer and will perform the duties and responsibilities customary for such position and such other related duties as are reasonably assigned by the Company’s Chief Executive Officer. While you render services to the Company, you will not engage in any other employment, occupation, or consulting activity for any direct or indirect remuneration or otherwise without the prior written approval of the Board. You may engage in charitable and community activities as well as own, as a passive investment, less than two percent (2%) of the capital stock of any corporation listed on the national securities exchange or publicly traded in the over-the-counter market, as long as such activities do not interfere with the performance of your duties under this Agreement. By signing this Agreement, you confirm that you have no contractual commitments or other legal obligations that would prohibit you from performing your duties for the Company.</w:t>
      </w:r>
    </w:p>
    <w:p>
      <w:pPr>
        <w:spacing w:after="0" w:line="179" w:lineRule="exact"/>
        <w:rPr>
          <w:sz w:val="20"/>
          <w:szCs w:val="20"/>
          <w:color w:val="auto"/>
        </w:rPr>
      </w:pPr>
    </w:p>
    <w:p>
      <w:pPr>
        <w:jc w:val="both"/>
        <w:ind w:left="860" w:hanging="784"/>
        <w:spacing w:after="0" w:line="239" w:lineRule="auto"/>
        <w:tabs>
          <w:tab w:leader="none" w:pos="84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You will perform your duties from the Company’s corporate offices located in Seattle, Washington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80" w:lineRule="exact"/>
        <w:rPr>
          <w:sz w:val="20"/>
          <w:szCs w:val="20"/>
          <w:color w:val="auto"/>
        </w:rPr>
      </w:pPr>
    </w:p>
    <w:p>
      <w:pPr>
        <w:jc w:val="both"/>
        <w:ind w:left="860" w:hanging="784"/>
        <w:spacing w:after="0" w:line="239" w:lineRule="auto"/>
        <w:tabs>
          <w:tab w:leader="none" w:pos="8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your annual base salary will be $250,000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which will be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payable, less any applicable withholdings, in accordance with the Company’s normal payroll practices. Our Board has approved that, provided you remain employed through the Company’s initial public offering, your Salary will be increased to $430,000 effective as of the effective date of the Company’s registration statement relating to such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49465"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2" w:name="page493"/>
    <w:bookmarkEnd w:id="492"/>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 MASON RD</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SUITE 300, BOX 352141</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SEATTLE, WA 98195-2141</w:t>
            </w:r>
          </w:p>
        </w:tc>
        <w:tc>
          <w:tcPr>
            <w:tcW w:w="0" w:type="dxa"/>
            <w:vAlign w:val="bottom"/>
          </w:tcPr>
          <w:p>
            <w:pPr>
              <w:spacing w:after="0"/>
              <w:rPr>
                <w:sz w:val="1"/>
                <w:szCs w:val="1"/>
                <w:color w:val="auto"/>
              </w:rPr>
            </w:pPr>
          </w:p>
        </w:tc>
      </w:tr>
      <w:tr>
        <w:trPr>
          <w:trHeight w:val="44"/>
        </w:trPr>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356699"/>
            </w:tcBorders>
          </w:tcPr>
          <w:p>
            <w:pPr>
              <w:spacing w:after="0"/>
              <w:rPr>
                <w:sz w:val="3"/>
                <w:szCs w:val="3"/>
                <w:color w:val="auto"/>
              </w:rPr>
            </w:pPr>
          </w:p>
        </w:tc>
        <w:tc>
          <w:tcPr>
            <w:tcW w:w="160" w:type="dxa"/>
            <w:vAlign w:val="bottom"/>
            <w:tcBorders>
              <w:bottom w:val="single" w:sz="8" w:color="356699"/>
            </w:tcBorders>
          </w:tcPr>
          <w:p>
            <w:pPr>
              <w:spacing w:after="0"/>
              <w:rPr>
                <w:sz w:val="3"/>
                <w:szCs w:val="3"/>
                <w:color w:val="auto"/>
              </w:rPr>
            </w:pPr>
          </w:p>
        </w:tc>
        <w:tc>
          <w:tcPr>
            <w:tcW w:w="720" w:type="dxa"/>
            <w:vAlign w:val="bottom"/>
            <w:tcBorders>
              <w:bottom w:val="single" w:sz="8" w:color="356699"/>
            </w:tcBorders>
          </w:tcPr>
          <w:p>
            <w:pPr>
              <w:spacing w:after="0"/>
              <w:rPr>
                <w:sz w:val="3"/>
                <w:szCs w:val="3"/>
                <w:color w:val="auto"/>
              </w:rPr>
            </w:pPr>
          </w:p>
        </w:tc>
        <w:tc>
          <w:tcPr>
            <w:tcW w:w="360" w:type="dxa"/>
            <w:vAlign w:val="bottom"/>
            <w:tcBorders>
              <w:bottom w:val="single" w:sz="8" w:color="356699"/>
            </w:tcBorders>
          </w:tcPr>
          <w:p>
            <w:pPr>
              <w:spacing w:after="0"/>
              <w:rPr>
                <w:sz w:val="3"/>
                <w:szCs w:val="3"/>
                <w:color w:val="auto"/>
              </w:rPr>
            </w:pPr>
          </w:p>
        </w:tc>
        <w:tc>
          <w:tcPr>
            <w:tcW w:w="40" w:type="dxa"/>
            <w:vAlign w:val="bottom"/>
            <w:tcBorders>
              <w:bottom w:val="single" w:sz="8" w:color="356699"/>
            </w:tcBorders>
          </w:tcPr>
          <w:p>
            <w:pPr>
              <w:spacing w:after="0"/>
              <w:rPr>
                <w:sz w:val="3"/>
                <w:szCs w:val="3"/>
                <w:color w:val="auto"/>
              </w:rPr>
            </w:pPr>
          </w:p>
        </w:tc>
        <w:tc>
          <w:tcPr>
            <w:tcW w:w="420" w:type="dxa"/>
            <w:vAlign w:val="bottom"/>
            <w:tcBorders>
              <w:bottom w:val="single" w:sz="8" w:color="356699"/>
            </w:tcBorders>
          </w:tcPr>
          <w:p>
            <w:pPr>
              <w:spacing w:after="0"/>
              <w:rPr>
                <w:sz w:val="3"/>
                <w:szCs w:val="3"/>
                <w:color w:val="auto"/>
              </w:rPr>
            </w:pPr>
          </w:p>
        </w:tc>
        <w:tc>
          <w:tcPr>
            <w:tcW w:w="1380" w:type="dxa"/>
            <w:vAlign w:val="bottom"/>
            <w:tcBorders>
              <w:bottom w:val="single" w:sz="8" w:color="356699"/>
            </w:tcBorders>
          </w:tcPr>
          <w:p>
            <w:pPr>
              <w:spacing w:after="0"/>
              <w:rPr>
                <w:sz w:val="3"/>
                <w:szCs w:val="3"/>
                <w:color w:val="auto"/>
              </w:rPr>
            </w:pPr>
          </w:p>
        </w:tc>
        <w:tc>
          <w:tcPr>
            <w:tcW w:w="960" w:type="dxa"/>
            <w:vAlign w:val="bottom"/>
            <w:tcBorders>
              <w:bottom w:val="single" w:sz="8" w:color="356699"/>
            </w:tcBorders>
          </w:tcPr>
          <w:p>
            <w:pPr>
              <w:spacing w:after="0"/>
              <w:rPr>
                <w:sz w:val="3"/>
                <w:szCs w:val="3"/>
                <w:color w:val="auto"/>
              </w:rPr>
            </w:pPr>
          </w:p>
        </w:tc>
        <w:tc>
          <w:tcPr>
            <w:tcW w:w="4640" w:type="dxa"/>
            <w:vAlign w:val="bottom"/>
            <w:tcBorders>
              <w:bottom w:val="single" w:sz="8" w:color="356699"/>
            </w:tcBorders>
          </w:tcPr>
          <w:p>
            <w:pPr>
              <w:spacing w:after="0"/>
              <w:rPr>
                <w:sz w:val="3"/>
                <w:szCs w:val="3"/>
                <w:color w:val="auto"/>
              </w:rPr>
            </w:pPr>
          </w:p>
        </w:tc>
        <w:tc>
          <w:tcPr>
            <w:tcW w:w="900" w:type="dxa"/>
            <w:vAlign w:val="bottom"/>
            <w:tcBorders>
              <w:bottom w:val="single" w:sz="8" w:color="356699"/>
            </w:tcBorders>
          </w:tcPr>
          <w:p>
            <w:pPr>
              <w:spacing w:after="0"/>
              <w:rPr>
                <w:sz w:val="3"/>
                <w:szCs w:val="3"/>
                <w:color w:val="auto"/>
              </w:rPr>
            </w:pPr>
          </w:p>
        </w:tc>
        <w:tc>
          <w:tcPr>
            <w:tcW w:w="0" w:type="dxa"/>
            <w:vAlign w:val="bottom"/>
          </w:tcPr>
          <w:p>
            <w:pPr>
              <w:spacing w:after="0"/>
              <w:rPr>
                <w:sz w:val="1"/>
                <w:szCs w:val="1"/>
                <w:color w:val="auto"/>
              </w:rPr>
            </w:pPr>
          </w:p>
        </w:tc>
      </w:tr>
      <w:tr>
        <w:trPr>
          <w:trHeight w:val="702"/>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rPr>
              <w:t>public offering. Your annual base salary will be subject to review and adjustment from time to time by our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0700" w:type="dxa"/>
            <w:vAlign w:val="bottom"/>
            <w:gridSpan w:val="12"/>
          </w:tcPr>
          <w:p>
            <w:pPr>
              <w:ind w:left="320"/>
              <w:spacing w:after="0" w:line="230" w:lineRule="exact"/>
              <w:rPr>
                <w:sz w:val="20"/>
                <w:szCs w:val="20"/>
                <w:color w:val="auto"/>
              </w:rPr>
            </w:pPr>
            <w:r>
              <w:rPr>
                <w:rFonts w:ascii="Times New Roman" w:cs="Times New Roman" w:eastAsia="Times New Roman" w:hAnsi="Times New Roman"/>
                <w:sz w:val="22"/>
                <w:szCs w:val="22"/>
                <w:color w:val="auto"/>
              </w:rPr>
              <w:t>Board or its Compensation Committee (the “Committee”), as applicable, in its sole discretion.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w w:val="98"/>
              </w:rPr>
              <w:t>Annual Bonus. For the Company’s 2020 fiscal year, you will have the opportunity to earn a target annual cash</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10700" w:type="dxa"/>
            <w:vAlign w:val="bottom"/>
            <w:gridSpan w:val="12"/>
          </w:tcPr>
          <w:p>
            <w:pPr>
              <w:ind w:left="320"/>
              <w:spacing w:after="0" w:line="236" w:lineRule="exact"/>
              <w:rPr>
                <w:sz w:val="20"/>
                <w:szCs w:val="20"/>
                <w:color w:val="auto"/>
              </w:rPr>
            </w:pPr>
            <w:r>
              <w:rPr>
                <w:rFonts w:ascii="Times New Roman" w:cs="Times New Roman" w:eastAsia="Times New Roman" w:hAnsi="Times New Roman"/>
                <w:sz w:val="22"/>
                <w:szCs w:val="22"/>
                <w:color w:val="auto"/>
                <w:w w:val="99"/>
              </w:rPr>
              <w:t>bonus equal to forty percent (40%) of your annual base salary, based on achieving performance objectives established</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by the Board or the Committee, as applicable, in its sole discretion and payable upon achievement of those objectives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as determined by the Committee. Unless determined otherwise by the Board or Committee, as applicable, any such</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bonus will be subject to your continued employment through and until the date of payment, and any such bonus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amounts paid will be subject to any applicable withholdings. Your annual bonus opportunity and the applicable terms</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w w:val="99"/>
              </w:rPr>
              <w:t>and conditions may be adjusted from time to time by our Board or the Committee, as applicable, in its sole discretion.</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w w:val="98"/>
              </w:rPr>
              <w:t>Equity Awards. You will be eligible to receive awards of stock options or other equity awards pursuant to any</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22"/>
                <w:szCs w:val="22"/>
                <w:color w:val="auto"/>
              </w:rPr>
              <w:t>plans or</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9580" w:type="dxa"/>
            <w:vAlign w:val="bottom"/>
            <w:gridSpan w:val="9"/>
          </w:tcPr>
          <w:p>
            <w:pPr>
              <w:jc w:val="right"/>
              <w:spacing w:after="0" w:line="236" w:lineRule="exact"/>
              <w:rPr>
                <w:sz w:val="20"/>
                <w:szCs w:val="20"/>
                <w:color w:val="auto"/>
              </w:rPr>
            </w:pPr>
            <w:r>
              <w:rPr>
                <w:rFonts w:ascii="Times New Roman" w:cs="Times New Roman" w:eastAsia="Times New Roman" w:hAnsi="Times New Roman"/>
                <w:sz w:val="22"/>
                <w:szCs w:val="22"/>
                <w:color w:val="auto"/>
                <w:w w:val="98"/>
              </w:rPr>
              <w:t>arrangements the Company may have in effect from time to time. The Board or Committee, as applicable, will</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determine in its sole discretion whether you will be granted any such equity awards and the terms of any such award in</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rPr>
              <w:t>accordance with the terms of any applicable plan or arrangement that may be in effect from time to time.</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rPr>
              <w:t>Employee Benefits.  You will continue to be eligible to participate in the benefit plans and programs</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1120" w:type="dxa"/>
            <w:vAlign w:val="bottom"/>
            <w:gridSpan w:val="3"/>
          </w:tcPr>
          <w:p>
            <w:pPr>
              <w:ind w:left="320"/>
              <w:spacing w:after="0" w:line="236" w:lineRule="exact"/>
              <w:rPr>
                <w:sz w:val="20"/>
                <w:szCs w:val="20"/>
                <w:color w:val="auto"/>
              </w:rPr>
            </w:pPr>
            <w:r>
              <w:rPr>
                <w:rFonts w:ascii="Times New Roman" w:cs="Times New Roman" w:eastAsia="Times New Roman" w:hAnsi="Times New Roman"/>
                <w:sz w:val="22"/>
                <w:szCs w:val="22"/>
                <w:color w:val="auto"/>
                <w:w w:val="79"/>
              </w:rPr>
              <w:t>established</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ind w:left="80"/>
              <w:spacing w:after="0" w:line="236" w:lineRule="exact"/>
              <w:rPr>
                <w:sz w:val="20"/>
                <w:szCs w:val="20"/>
                <w:color w:val="auto"/>
              </w:rPr>
            </w:pPr>
            <w:r>
              <w:rPr>
                <w:rFonts w:ascii="Times New Roman" w:cs="Times New Roman" w:eastAsia="Times New Roman" w:hAnsi="Times New Roman"/>
                <w:sz w:val="22"/>
                <w:szCs w:val="22"/>
                <w:color w:val="auto"/>
                <w:w w:val="98"/>
              </w:rPr>
              <w:t>by the Company</w:t>
            </w:r>
          </w:p>
        </w:tc>
        <w:tc>
          <w:tcPr>
            <w:tcW w:w="78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2"/>
                <w:szCs w:val="22"/>
                <w:color w:val="auto"/>
              </w:rPr>
              <w:t>for its employees from time to time, subject to their applicable terms and conditions,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including without limitation any eligibility requirements. The Company will reimburse you for reasonable travel or</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other expenses incurred by you in the furtherance of or in connection with the performance of your duties under this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Agreement, pursuant to the terms of the Company’s expense reimbursement policy as may be in effect from time to</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time.  The Company reserves the right to modify, amend, suspend or terminate the benefit plans, programs, and</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rPr>
              <w:t>arrangements it offers to its employees at any time.</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rPr>
              <w:t>Severance. You will be eligible to enter into a Change in Control and Severance Agreement (the “Severance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79"/>
              </w:rPr>
              <w:t>Agreement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0" w:type="dxa"/>
            <w:vAlign w:val="bottom"/>
            <w:gridSpan w:val="6"/>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42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2"/>
                <w:szCs w:val="22"/>
                <w:color w:val="auto"/>
              </w:rPr>
              <w:t>”) applicable to you based on your position within the Company. Any Severance Agreement will become</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w w:val="93"/>
              </w:rPr>
              <w:t>effective as</w:t>
            </w:r>
          </w:p>
        </w:tc>
        <w:tc>
          <w:tcPr>
            <w:tcW w:w="9420" w:type="dxa"/>
            <w:vAlign w:val="bottom"/>
            <w:gridSpan w:val="8"/>
          </w:tcPr>
          <w:p>
            <w:pPr>
              <w:jc w:val="right"/>
              <w:spacing w:after="0" w:line="236" w:lineRule="exact"/>
              <w:rPr>
                <w:sz w:val="20"/>
                <w:szCs w:val="20"/>
                <w:color w:val="auto"/>
              </w:rPr>
            </w:pPr>
            <w:r>
              <w:rPr>
                <w:rFonts w:ascii="Times New Roman" w:cs="Times New Roman" w:eastAsia="Times New Roman" w:hAnsi="Times New Roman"/>
                <w:sz w:val="22"/>
                <w:szCs w:val="22"/>
                <w:color w:val="auto"/>
                <w:w w:val="99"/>
              </w:rPr>
              <w:t>of the business day immediately prior to the effective date of the Company’s registration statement relating</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to the Company’s initial public offering. The Severance Agreement will specify the severance payments and benefits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you may become entitled to receive in connection with a change in control of the Company as well as certain qualifying</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terminations of your employment with the Company.  For purposes of clarity, other than any vesting acceleration</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benefits set forth in the Company’s 2014 Equity Incentive Plan and the award agreements thereunder governing the</w:t>
            </w:r>
          </w:p>
        </w:tc>
        <w:tc>
          <w:tcPr>
            <w:tcW w:w="0" w:type="dxa"/>
            <w:vAlign w:val="bottom"/>
          </w:tcPr>
          <w:p>
            <w:pPr>
              <w:spacing w:after="0"/>
              <w:rPr>
                <w:sz w:val="1"/>
                <w:szCs w:val="1"/>
                <w:color w:val="auto"/>
              </w:rPr>
            </w:pPr>
          </w:p>
        </w:tc>
      </w:tr>
      <w:tr>
        <w:trPr>
          <w:trHeight w:val="267"/>
        </w:trPr>
        <w:tc>
          <w:tcPr>
            <w:tcW w:w="460" w:type="dxa"/>
            <w:vAlign w:val="bottom"/>
          </w:tcPr>
          <w:p>
            <w:pPr>
              <w:spacing w:after="0"/>
              <w:rPr>
                <w:sz w:val="23"/>
                <w:szCs w:val="23"/>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rPr>
              <w:t>terms of your stock options to purchase shares of Company common stock granted thereunder (to the extent not</w:t>
            </w:r>
          </w:p>
        </w:tc>
        <w:tc>
          <w:tcPr>
            <w:tcW w:w="0" w:type="dxa"/>
            <w:vAlign w:val="bottom"/>
          </w:tcPr>
          <w:p>
            <w:pPr>
              <w:spacing w:after="0"/>
              <w:rPr>
                <w:sz w:val="1"/>
                <w:szCs w:val="1"/>
                <w:color w:val="auto"/>
              </w:rPr>
            </w:pPr>
          </w:p>
        </w:tc>
      </w:tr>
    </w:tbl>
    <w:p>
      <w:pPr>
        <w:jc w:val="both"/>
        <w:ind w:left="78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1234440" cy="6172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t>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79375</wp:posOffset>
            </wp:positionV>
            <wp:extent cx="7149465"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563" w:right="339" w:bottom="1440" w:gutter="0" w:footer="0" w:header="0"/>
        </w:sectPr>
      </w:pPr>
    </w:p>
    <w:bookmarkStart w:id="493" w:name="page494"/>
    <w:bookmarkEnd w:id="493"/>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037705" cy="6254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4">
                      <a:extLst>
                        <a:ext uri="{28A0092B-C50C-407E-A947-70E740481C1C}"/>
                      </a:extLst>
                    </a:blip>
                    <a:srcRect/>
                    <a:stretch>
                      <a:fillRect/>
                    </a:stretch>
                  </pic:blipFill>
                  <pic:spPr bwMode="auto">
                    <a:xfrm>
                      <a:off x="0" y="0"/>
                      <a:ext cx="7037705" cy="625475"/>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334" w:lineRule="exact"/>
        <w:rPr>
          <w:sz w:val="20"/>
          <w:szCs w:val="20"/>
          <w:color w:val="auto"/>
        </w:rPr>
      </w:pPr>
    </w:p>
    <w:p>
      <w:pPr>
        <w:jc w:val="both"/>
        <w:ind w:left="780" w:hanging="784"/>
        <w:spacing w:after="0" w:line="238" w:lineRule="auto"/>
        <w:tabs>
          <w:tab w:leader="none" w:pos="76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As an employee of the Company, you will continue to have access to certain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confidential information of the Company and you may, during the course of your employment, develop certain information or inventions that will be the property of the Company. To protect the interests of the Company, you agree to enter into a Proprietary Information and Inventions Assignment Agreement with the Company in substantially the 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780" w:hanging="784"/>
        <w:spacing w:after="0" w:line="253" w:lineRule="exact"/>
        <w:tabs>
          <w:tab w:leader="none" w:pos="760" w:val="left"/>
        </w:tabs>
        <w:rPr>
          <w:sz w:val="20"/>
          <w:szCs w:val="20"/>
          <w:color w:val="auto"/>
        </w:rPr>
      </w:pPr>
      <w:r>
        <w:rPr>
          <w:rFonts w:ascii="Times New Roman" w:cs="Times New Roman" w:eastAsia="Times New Roman" w:hAnsi="Times New Roman"/>
          <w:sz w:val="22"/>
          <w:szCs w:val="22"/>
          <w:color w:val="auto"/>
        </w:rPr>
        <w:t>9.</w:t>
      </w:r>
      <w:r>
        <w:rPr>
          <w:sz w:val="20"/>
          <w:szCs w:val="20"/>
          <w:color w:val="auto"/>
        </w:rPr>
        <w:tab/>
      </w: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This Agreement does not imply any right to your continued employment for any period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the Company or any parent, subsidiary, or affiliate of the Company. Your employment with the Company is and will continue to be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0" w:lineRule="exact"/>
        <w:rPr>
          <w:sz w:val="20"/>
          <w:szCs w:val="20"/>
          <w:color w:val="auto"/>
        </w:rPr>
      </w:pPr>
    </w:p>
    <w:p>
      <w:pPr>
        <w:jc w:val="both"/>
        <w:ind w:left="780" w:hanging="784"/>
        <w:spacing w:after="0" w:line="233" w:lineRule="auto"/>
        <w:tabs>
          <w:tab w:leader="none" w:pos="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u w:val="single" w:color="auto"/>
          <w:color w:val="auto"/>
        </w:rPr>
        <w:t>Protected Activity Not Prohibited</w:t>
      </w:r>
      <w:r>
        <w:rPr>
          <w:rFonts w:ascii="Times New Roman" w:cs="Times New Roman" w:eastAsia="Times New Roman" w:hAnsi="Times New Roman"/>
          <w:sz w:val="22"/>
          <w:szCs w:val="22"/>
          <w:color w:val="auto"/>
        </w:rPr>
        <w:t>. The Company and you acknowledge and agree that nothing in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780" w:hanging="784"/>
        <w:spacing w:after="0" w:line="235" w:lineRule="auto"/>
        <w:tabs>
          <w:tab w:leader="none" w:pos="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Agreement, together with the Confidentiality Agreement, the Severance Agreement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stock options granted to you by the Company under its 2014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Washington but without regard to the conflict of law provision. This Agreement may be modified only by a written agreement signed by a duly authorized officer of the Company (other than yourself) and you.</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79375</wp:posOffset>
            </wp:positionV>
            <wp:extent cx="7149465"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576" w:right="339" w:bottom="1440" w:gutter="0" w:footer="0" w:header="0"/>
        </w:sectPr>
      </w:pPr>
    </w:p>
    <w:bookmarkStart w:id="494" w:name="page495"/>
    <w:bookmarkEnd w:id="494"/>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037705" cy="6254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6">
                      <a:extLst>
                        <a:ext uri="{28A0092B-C50C-407E-A947-70E740481C1C}"/>
                      </a:extLst>
                    </a:blip>
                    <a:srcRect/>
                    <a:stretch>
                      <a:fillRect/>
                    </a:stretch>
                  </pic:blipFill>
                  <pic:spPr bwMode="auto">
                    <a:xfrm>
                      <a:off x="0" y="0"/>
                      <a:ext cx="7037705" cy="625475"/>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confirm the current terms and conditions of your employment, please sign and date in the spaces indicated and return this Agreement to me.</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06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6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Leen Kawas</w:t>
            </w:r>
          </w:p>
        </w:tc>
      </w:tr>
      <w:tr>
        <w:trPr>
          <w:trHeight w:val="236"/>
        </w:trPr>
        <w:tc>
          <w:tcPr>
            <w:tcW w:w="360" w:type="dxa"/>
            <w:vAlign w:val="bottom"/>
          </w:tcPr>
          <w:p>
            <w:pPr>
              <w:spacing w:after="0"/>
              <w:rPr>
                <w:sz w:val="20"/>
                <w:szCs w:val="20"/>
                <w:color w:val="auto"/>
              </w:rPr>
            </w:pPr>
          </w:p>
        </w:tc>
        <w:tc>
          <w:tcPr>
            <w:tcW w:w="660" w:type="dxa"/>
            <w:vAlign w:val="bottom"/>
          </w:tcPr>
          <w:p>
            <w:pPr>
              <w:ind w:left="60"/>
              <w:spacing w:after="0" w:line="236" w:lineRule="exact"/>
              <w:rPr>
                <w:sz w:val="20"/>
                <w:szCs w:val="20"/>
                <w:color w:val="auto"/>
              </w:rPr>
            </w:pPr>
            <w:r>
              <w:rPr>
                <w:rFonts w:ascii="Times New Roman" w:cs="Times New Roman" w:eastAsia="Times New Roman" w:hAnsi="Times New Roman"/>
                <w:sz w:val="22"/>
                <w:szCs w:val="22"/>
                <w:color w:val="auto"/>
              </w:rPr>
              <w:t>Leen</w:t>
            </w:r>
          </w:p>
        </w:tc>
        <w:tc>
          <w:tcPr>
            <w:tcW w:w="13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Kawas, Ph.D.</w:t>
            </w:r>
          </w:p>
        </w:tc>
        <w:tc>
          <w:tcPr>
            <w:tcW w:w="160" w:type="dxa"/>
            <w:vAlign w:val="bottom"/>
          </w:tcPr>
          <w:p>
            <w:pPr>
              <w:spacing w:after="0"/>
              <w:rPr>
                <w:sz w:val="20"/>
                <w:szCs w:val="20"/>
                <w:color w:val="auto"/>
              </w:rPr>
            </w:pPr>
          </w:p>
        </w:tc>
      </w:tr>
      <w:tr>
        <w:trPr>
          <w:trHeight w:val="282"/>
        </w:trPr>
        <w:tc>
          <w:tcPr>
            <w:tcW w:w="360" w:type="dxa"/>
            <w:vAlign w:val="bottom"/>
          </w:tcPr>
          <w:p>
            <w:pPr>
              <w:spacing w:after="0"/>
              <w:rPr>
                <w:sz w:val="24"/>
                <w:szCs w:val="24"/>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Chief Executive Officer</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Mark Litton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Litton, Ph.D.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September 8, 2020</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95" w:name="page496"/>
    <w:bookmarkEnd w:id="495"/>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037705" cy="62547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8">
                      <a:extLst>
                        <a:ext uri="{28A0092B-C50C-407E-A947-70E740481C1C}"/>
                      </a:extLst>
                    </a:blip>
                    <a:srcRect/>
                    <a:stretch>
                      <a:fillRect/>
                    </a:stretch>
                  </pic:blipFill>
                  <pic:spPr bwMode="auto">
                    <a:xfrm>
                      <a:off x="0" y="0"/>
                      <a:ext cx="7037705" cy="625475"/>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3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Proprietary Information and Inventions Assignment Agreement</w:t>
      </w: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496" w:name="page497"/>
    <w:bookmarkEnd w:id="496"/>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037705" cy="6254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0">
                      <a:extLst>
                        <a:ext uri="{28A0092B-C50C-407E-A947-70E740481C1C}"/>
                      </a:extLst>
                    </a:blip>
                    <a:srcRect/>
                    <a:stretch>
                      <a:fillRect/>
                    </a:stretch>
                  </pic:blipFill>
                  <pic:spPr bwMode="auto">
                    <a:xfrm>
                      <a:off x="0" y="0"/>
                      <a:ext cx="7037705" cy="625475"/>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 of the Defend Trade Secrets Act of 2016</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575" w:right="339" w:bottom="1440" w:gutter="0" w:footer="0" w:header="0"/>
        </w:sectPr>
      </w:pPr>
    </w:p>
    <w:bookmarkStart w:id="497" w:name="page498"/>
    <w:bookmarkEnd w:id="497"/>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107950</wp:posOffset>
            </wp:positionV>
            <wp:extent cx="7037705" cy="62611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1">
                      <a:extLst>
                        <a:ext uri="{28A0092B-C50C-407E-A947-70E740481C1C}"/>
                      </a:extLst>
                    </a:blip>
                    <a:srcRect/>
                    <a:stretch>
                      <a:fillRect/>
                    </a:stretch>
                  </pic:blipFill>
                  <pic:spPr bwMode="auto">
                    <a:xfrm>
                      <a:off x="0" y="0"/>
                      <a:ext cx="7037705" cy="6261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8, 2020</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Kevin Church, Ph.D.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Via Email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Confirmatory Employment Letter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Kevin:</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confirmatory employment letter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Kevin Church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and Athira 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we</w:t>
      </w:r>
      <w:r>
        <w:rPr>
          <w:rFonts w:ascii="Times New Roman" w:cs="Times New Roman" w:eastAsia="Times New Roman" w:hAnsi="Times New Roman"/>
          <w:sz w:val="22"/>
          <w:szCs w:val="22"/>
          <w:color w:val="auto"/>
        </w:rPr>
        <w:t>”), effective as of September 8,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to confirm the terms and conditions of your employment with the Company as of the Effective Date.</w:t>
      </w:r>
    </w:p>
    <w:p>
      <w:pPr>
        <w:spacing w:after="0" w:line="173" w:lineRule="exact"/>
        <w:rPr>
          <w:sz w:val="20"/>
          <w:szCs w:val="20"/>
          <w:color w:val="auto"/>
        </w:rPr>
      </w:pPr>
    </w:p>
    <w:p>
      <w:pPr>
        <w:jc w:val="both"/>
        <w:ind w:left="860" w:hanging="784"/>
        <w:spacing w:after="0" w:line="234" w:lineRule="auto"/>
        <w:tabs>
          <w:tab w:leader="none" w:pos="84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u w:val="single" w:color="auto"/>
          <w:color w:val="auto"/>
        </w:rPr>
        <w:t>Title; Position</w:t>
      </w:r>
      <w:r>
        <w:rPr>
          <w:rFonts w:ascii="Times New Roman" w:cs="Times New Roman" w:eastAsia="Times New Roman" w:hAnsi="Times New Roman"/>
          <w:sz w:val="22"/>
          <w:szCs w:val="22"/>
          <w:color w:val="auto"/>
        </w:rPr>
        <w:t>. You will continue to serve as the Company’s Vice President of Discovery. You also will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continue to report to the Company’s Chief Executive Officer and will perform the duties and responsibilities customary for such position and such other related duties as are reasonably assigned by the Company’s Chief Executive Officer. While you render services to the Company, you will not engage in any other employment, occupation, or consulting activity for any direct or indirect remuneration or otherwise without the prior written approval of the Board. You may engage in charitable and community activities as well as own, as a passive investment, less than two percent (2%) of the capital stock of any corporation listed on the national securities exchange or publicly traded in the over-the-counter market, as long as such activities do not interfere with the performance of your duties under this Agreement. By signing this Agreement, you confirm that you have no contractual commitments or other legal obligations that would prohibit you from performing your duties for the Company.</w:t>
      </w:r>
    </w:p>
    <w:p>
      <w:pPr>
        <w:spacing w:after="0" w:line="179" w:lineRule="exact"/>
        <w:rPr>
          <w:sz w:val="20"/>
          <w:szCs w:val="20"/>
          <w:color w:val="auto"/>
        </w:rPr>
      </w:pPr>
    </w:p>
    <w:p>
      <w:pPr>
        <w:jc w:val="both"/>
        <w:ind w:left="860" w:hanging="784"/>
        <w:spacing w:after="0" w:line="239" w:lineRule="auto"/>
        <w:tabs>
          <w:tab w:leader="none" w:pos="84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You will perform your duties from the Company’s corporate offices located in Seattle, Washington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80" w:lineRule="exact"/>
        <w:rPr>
          <w:sz w:val="20"/>
          <w:szCs w:val="20"/>
          <w:color w:val="auto"/>
        </w:rPr>
      </w:pPr>
    </w:p>
    <w:p>
      <w:pPr>
        <w:jc w:val="both"/>
        <w:ind w:left="860" w:hanging="784"/>
        <w:spacing w:after="0" w:line="244" w:lineRule="auto"/>
        <w:tabs>
          <w:tab w:leader="none" w:pos="8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your annual base salary will be $121,000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which will be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payable, less any applicable withholdings, in accordance with the Company’s normal payroll practices. Our Board has approved that, provided you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49465"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8" w:name="page499"/>
    <w:bookmarkEnd w:id="498"/>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 MASON RD</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SUITE 300, BOX 352141</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SEATTLE, WA 98195-2141</w:t>
            </w:r>
          </w:p>
        </w:tc>
        <w:tc>
          <w:tcPr>
            <w:tcW w:w="0" w:type="dxa"/>
            <w:vAlign w:val="bottom"/>
          </w:tcPr>
          <w:p>
            <w:pPr>
              <w:spacing w:after="0"/>
              <w:rPr>
                <w:sz w:val="1"/>
                <w:szCs w:val="1"/>
                <w:color w:val="auto"/>
              </w:rPr>
            </w:pPr>
          </w:p>
        </w:tc>
      </w:tr>
      <w:tr>
        <w:trPr>
          <w:trHeight w:val="44"/>
        </w:trPr>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356699"/>
            </w:tcBorders>
          </w:tcPr>
          <w:p>
            <w:pPr>
              <w:spacing w:after="0"/>
              <w:rPr>
                <w:sz w:val="3"/>
                <w:szCs w:val="3"/>
                <w:color w:val="auto"/>
              </w:rPr>
            </w:pPr>
          </w:p>
        </w:tc>
        <w:tc>
          <w:tcPr>
            <w:tcW w:w="320" w:type="dxa"/>
            <w:vAlign w:val="bottom"/>
            <w:tcBorders>
              <w:bottom w:val="single" w:sz="8" w:color="356699"/>
            </w:tcBorders>
          </w:tcPr>
          <w:p>
            <w:pPr>
              <w:spacing w:after="0"/>
              <w:rPr>
                <w:sz w:val="3"/>
                <w:szCs w:val="3"/>
                <w:color w:val="auto"/>
              </w:rPr>
            </w:pPr>
          </w:p>
        </w:tc>
        <w:tc>
          <w:tcPr>
            <w:tcW w:w="640" w:type="dxa"/>
            <w:vAlign w:val="bottom"/>
            <w:tcBorders>
              <w:bottom w:val="single" w:sz="8" w:color="356699"/>
            </w:tcBorders>
          </w:tcPr>
          <w:p>
            <w:pPr>
              <w:spacing w:after="0"/>
              <w:rPr>
                <w:sz w:val="3"/>
                <w:szCs w:val="3"/>
                <w:color w:val="auto"/>
              </w:rPr>
            </w:pPr>
          </w:p>
        </w:tc>
        <w:tc>
          <w:tcPr>
            <w:tcW w:w="600" w:type="dxa"/>
            <w:vAlign w:val="bottom"/>
            <w:tcBorders>
              <w:bottom w:val="single" w:sz="8" w:color="356699"/>
            </w:tcBorders>
          </w:tcPr>
          <w:p>
            <w:pPr>
              <w:spacing w:after="0"/>
              <w:rPr>
                <w:sz w:val="3"/>
                <w:szCs w:val="3"/>
                <w:color w:val="auto"/>
              </w:rPr>
            </w:pPr>
          </w:p>
        </w:tc>
        <w:tc>
          <w:tcPr>
            <w:tcW w:w="60" w:type="dxa"/>
            <w:vAlign w:val="bottom"/>
            <w:tcBorders>
              <w:bottom w:val="single" w:sz="8" w:color="356699"/>
            </w:tcBorders>
          </w:tcPr>
          <w:p>
            <w:pPr>
              <w:spacing w:after="0"/>
              <w:rPr>
                <w:sz w:val="3"/>
                <w:szCs w:val="3"/>
                <w:color w:val="auto"/>
              </w:rPr>
            </w:pPr>
          </w:p>
        </w:tc>
        <w:tc>
          <w:tcPr>
            <w:tcW w:w="400" w:type="dxa"/>
            <w:vAlign w:val="bottom"/>
            <w:tcBorders>
              <w:bottom w:val="single" w:sz="8" w:color="356699"/>
            </w:tcBorders>
          </w:tcPr>
          <w:p>
            <w:pPr>
              <w:spacing w:after="0"/>
              <w:rPr>
                <w:sz w:val="3"/>
                <w:szCs w:val="3"/>
                <w:color w:val="auto"/>
              </w:rPr>
            </w:pPr>
          </w:p>
        </w:tc>
        <w:tc>
          <w:tcPr>
            <w:tcW w:w="140" w:type="dxa"/>
            <w:vAlign w:val="bottom"/>
            <w:tcBorders>
              <w:bottom w:val="single" w:sz="8" w:color="356699"/>
            </w:tcBorders>
          </w:tcPr>
          <w:p>
            <w:pPr>
              <w:spacing w:after="0"/>
              <w:rPr>
                <w:sz w:val="3"/>
                <w:szCs w:val="3"/>
                <w:color w:val="auto"/>
              </w:rPr>
            </w:pPr>
          </w:p>
        </w:tc>
        <w:tc>
          <w:tcPr>
            <w:tcW w:w="320" w:type="dxa"/>
            <w:vAlign w:val="bottom"/>
            <w:tcBorders>
              <w:bottom w:val="single" w:sz="8" w:color="356699"/>
            </w:tcBorders>
          </w:tcPr>
          <w:p>
            <w:pPr>
              <w:spacing w:after="0"/>
              <w:rPr>
                <w:sz w:val="3"/>
                <w:szCs w:val="3"/>
                <w:color w:val="auto"/>
              </w:rPr>
            </w:pPr>
          </w:p>
        </w:tc>
        <w:tc>
          <w:tcPr>
            <w:tcW w:w="180" w:type="dxa"/>
            <w:vAlign w:val="bottom"/>
            <w:tcBorders>
              <w:bottom w:val="single" w:sz="8" w:color="356699"/>
            </w:tcBorders>
          </w:tcPr>
          <w:p>
            <w:pPr>
              <w:spacing w:after="0"/>
              <w:rPr>
                <w:sz w:val="3"/>
                <w:szCs w:val="3"/>
                <w:color w:val="auto"/>
              </w:rPr>
            </w:pPr>
          </w:p>
        </w:tc>
        <w:tc>
          <w:tcPr>
            <w:tcW w:w="360" w:type="dxa"/>
            <w:vAlign w:val="bottom"/>
            <w:tcBorders>
              <w:bottom w:val="single" w:sz="8" w:color="356699"/>
            </w:tcBorders>
          </w:tcPr>
          <w:p>
            <w:pPr>
              <w:spacing w:after="0"/>
              <w:rPr>
                <w:sz w:val="3"/>
                <w:szCs w:val="3"/>
                <w:color w:val="auto"/>
              </w:rPr>
            </w:pPr>
          </w:p>
        </w:tc>
        <w:tc>
          <w:tcPr>
            <w:tcW w:w="2320" w:type="dxa"/>
            <w:vAlign w:val="bottom"/>
            <w:tcBorders>
              <w:bottom w:val="single" w:sz="8" w:color="356699"/>
            </w:tcBorders>
          </w:tcPr>
          <w:p>
            <w:pPr>
              <w:spacing w:after="0"/>
              <w:rPr>
                <w:sz w:val="3"/>
                <w:szCs w:val="3"/>
                <w:color w:val="auto"/>
              </w:rPr>
            </w:pPr>
          </w:p>
        </w:tc>
        <w:tc>
          <w:tcPr>
            <w:tcW w:w="4560" w:type="dxa"/>
            <w:vAlign w:val="bottom"/>
            <w:tcBorders>
              <w:bottom w:val="single" w:sz="8" w:color="356699"/>
            </w:tcBorders>
          </w:tcPr>
          <w:p>
            <w:pPr>
              <w:spacing w:after="0"/>
              <w:rPr>
                <w:sz w:val="3"/>
                <w:szCs w:val="3"/>
                <w:color w:val="auto"/>
              </w:rPr>
            </w:pPr>
          </w:p>
        </w:tc>
        <w:tc>
          <w:tcPr>
            <w:tcW w:w="0" w:type="dxa"/>
            <w:vAlign w:val="bottom"/>
          </w:tcPr>
          <w:p>
            <w:pPr>
              <w:spacing w:after="0"/>
              <w:rPr>
                <w:sz w:val="1"/>
                <w:szCs w:val="1"/>
                <w:color w:val="auto"/>
              </w:rPr>
            </w:pPr>
          </w:p>
        </w:tc>
      </w:tr>
      <w:tr>
        <w:trPr>
          <w:trHeight w:val="648"/>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10"/>
          </w:tcPr>
          <w:p>
            <w:pPr>
              <w:jc w:val="right"/>
              <w:spacing w:after="0"/>
              <w:rPr>
                <w:sz w:val="20"/>
                <w:szCs w:val="20"/>
                <w:color w:val="auto"/>
              </w:rPr>
            </w:pPr>
            <w:r>
              <w:rPr>
                <w:rFonts w:ascii="Times New Roman" w:cs="Times New Roman" w:eastAsia="Times New Roman" w:hAnsi="Times New Roman"/>
                <w:sz w:val="22"/>
                <w:szCs w:val="22"/>
                <w:color w:val="auto"/>
              </w:rPr>
              <w:t>employed through the Company’s initial public offering, your Salary will be increased to $230,000 effective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rPr>
              <w:t>as of the effective date of the Company’s registration statement relating to such initial public offering.  Your annual</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rPr>
              <w:t>base salary will be subject to review and adjustment from time to time by our Board or its Compensation Committee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0700" w:type="dxa"/>
            <w:vAlign w:val="bottom"/>
            <w:gridSpan w:val="13"/>
          </w:tcPr>
          <w:p>
            <w:pPr>
              <w:ind w:left="320"/>
              <w:spacing w:after="0" w:line="230" w:lineRule="exact"/>
              <w:rPr>
                <w:sz w:val="20"/>
                <w:szCs w:val="20"/>
                <w:color w:val="auto"/>
              </w:rPr>
            </w:pPr>
            <w:r>
              <w:rPr>
                <w:rFonts w:ascii="Times New Roman" w:cs="Times New Roman" w:eastAsia="Times New Roman" w:hAnsi="Times New Roman"/>
                <w:sz w:val="22"/>
                <w:szCs w:val="22"/>
                <w:color w:val="auto"/>
              </w:rPr>
              <w:t>(the “Committee”), as applicable, in its sole discretion.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4.</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10"/>
          </w:tcPr>
          <w:p>
            <w:pPr>
              <w:jc w:val="right"/>
              <w:spacing w:after="0"/>
              <w:rPr>
                <w:sz w:val="20"/>
                <w:szCs w:val="20"/>
                <w:color w:val="auto"/>
              </w:rPr>
            </w:pPr>
            <w:r>
              <w:rPr>
                <w:rFonts w:ascii="Times New Roman" w:cs="Times New Roman" w:eastAsia="Times New Roman" w:hAnsi="Times New Roman"/>
                <w:sz w:val="22"/>
                <w:szCs w:val="22"/>
                <w:color w:val="auto"/>
                <w:w w:val="98"/>
              </w:rPr>
              <w:t>Annual Bonus. For the Company’s 2020 fiscal year, you will have the opportunity to earn a target annual cash</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8340" w:type="dxa"/>
            <w:vAlign w:val="bottom"/>
            <w:gridSpan w:val="8"/>
            <w:vMerge w:val="restart"/>
          </w:tcPr>
          <w:p>
            <w:pPr>
              <w:jc w:val="right"/>
              <w:spacing w:after="0"/>
              <w:rPr>
                <w:sz w:val="20"/>
                <w:szCs w:val="20"/>
                <w:color w:val="auto"/>
              </w:rPr>
            </w:pPr>
            <w:r>
              <w:rPr>
                <w:rFonts w:ascii="Times New Roman" w:cs="Times New Roman" w:eastAsia="Times New Roman" w:hAnsi="Times New Roman"/>
                <w:sz w:val="22"/>
                <w:szCs w:val="22"/>
                <w:color w:val="auto"/>
              </w:rPr>
              <w:t>-five percent (25%) of your annual base salary, based on achieving performance objectives</w:t>
            </w: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2360" w:type="dxa"/>
            <w:vAlign w:val="bottom"/>
            <w:gridSpan w:val="5"/>
          </w:tcPr>
          <w:p>
            <w:pPr>
              <w:ind w:left="320"/>
              <w:spacing w:after="0" w:line="236" w:lineRule="exact"/>
              <w:rPr>
                <w:sz w:val="20"/>
                <w:szCs w:val="20"/>
                <w:color w:val="auto"/>
              </w:rPr>
            </w:pPr>
            <w:r>
              <w:rPr>
                <w:rFonts w:ascii="Times New Roman" w:cs="Times New Roman" w:eastAsia="Times New Roman" w:hAnsi="Times New Roman"/>
                <w:sz w:val="22"/>
                <w:szCs w:val="22"/>
                <w:color w:val="auto"/>
              </w:rPr>
              <w:t>bonus equal to twenty</w:t>
            </w:r>
          </w:p>
        </w:tc>
        <w:tc>
          <w:tcPr>
            <w:tcW w:w="8340" w:type="dxa"/>
            <w:vAlign w:val="bottom"/>
            <w:gridSpan w:val="8"/>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established by the Board or the Committee, as applicable, in its sole discretion and payable upon achievement of those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rPr>
              <w:t>objectives as determined by the Committee. Unless determined otherwise by the Board or Committee, as applicable,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rPr>
              <w:t>any such bonus will be subject to your continued employment through and until the date of payment, and any such</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bonus amounts paid will be subject to any applicable withholdings. Your annual bonus opportunity and the applicable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rPr>
              <w:t>terms and conditions may be adjusted from time to time by our Board or the Committee, as applicable, in its sole</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3"/>
          </w:tcPr>
          <w:p>
            <w:pPr>
              <w:ind w:left="320"/>
              <w:spacing w:after="0"/>
              <w:rPr>
                <w:sz w:val="20"/>
                <w:szCs w:val="20"/>
                <w:color w:val="auto"/>
              </w:rPr>
            </w:pPr>
            <w:r>
              <w:rPr>
                <w:rFonts w:ascii="Times New Roman" w:cs="Times New Roman" w:eastAsia="Times New Roman" w:hAnsi="Times New Roman"/>
                <w:sz w:val="22"/>
                <w:szCs w:val="22"/>
                <w:color w:val="auto"/>
              </w:rPr>
              <w:t>discretion.</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5.</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10"/>
          </w:tcPr>
          <w:p>
            <w:pPr>
              <w:jc w:val="right"/>
              <w:spacing w:after="0"/>
              <w:rPr>
                <w:sz w:val="20"/>
                <w:szCs w:val="20"/>
                <w:color w:val="auto"/>
              </w:rPr>
            </w:pPr>
            <w:r>
              <w:rPr>
                <w:rFonts w:ascii="Times New Roman" w:cs="Times New Roman" w:eastAsia="Times New Roman" w:hAnsi="Times New Roman"/>
                <w:sz w:val="22"/>
                <w:szCs w:val="22"/>
                <w:color w:val="auto"/>
                <w:w w:val="98"/>
              </w:rPr>
              <w:t>Equity Awards. You will be eligible to receive awards of stock options or other equity awards pursuant to any</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22"/>
                <w:szCs w:val="22"/>
                <w:color w:val="auto"/>
              </w:rPr>
              <w:t>plans or</w:t>
            </w:r>
          </w:p>
        </w:tc>
        <w:tc>
          <w:tcPr>
            <w:tcW w:w="1300" w:type="dxa"/>
            <w:vAlign w:val="bottom"/>
            <w:tcBorders>
              <w:right w:val="single" w:sz="8" w:color="auto"/>
            </w:tcBorders>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9580" w:type="dxa"/>
            <w:vAlign w:val="bottom"/>
            <w:gridSpan w:val="10"/>
          </w:tcPr>
          <w:p>
            <w:pPr>
              <w:jc w:val="right"/>
              <w:spacing w:after="0" w:line="236" w:lineRule="exact"/>
              <w:rPr>
                <w:sz w:val="20"/>
                <w:szCs w:val="20"/>
                <w:color w:val="auto"/>
              </w:rPr>
            </w:pPr>
            <w:r>
              <w:rPr>
                <w:rFonts w:ascii="Times New Roman" w:cs="Times New Roman" w:eastAsia="Times New Roman" w:hAnsi="Times New Roman"/>
                <w:sz w:val="22"/>
                <w:szCs w:val="22"/>
                <w:color w:val="auto"/>
                <w:w w:val="98"/>
              </w:rPr>
              <w:t>arrangements the Company may have in effect from time to time. The Board or Committee, as applicable, will</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determine in its sole discretion whether you will be granted any such equity awards and the terms of any such award in</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3"/>
          </w:tcPr>
          <w:p>
            <w:pPr>
              <w:ind w:left="320"/>
              <w:spacing w:after="0"/>
              <w:rPr>
                <w:sz w:val="20"/>
                <w:szCs w:val="20"/>
                <w:color w:val="auto"/>
              </w:rPr>
            </w:pPr>
            <w:r>
              <w:rPr>
                <w:rFonts w:ascii="Times New Roman" w:cs="Times New Roman" w:eastAsia="Times New Roman" w:hAnsi="Times New Roman"/>
                <w:sz w:val="22"/>
                <w:szCs w:val="22"/>
                <w:color w:val="auto"/>
              </w:rPr>
              <w:t>accordance with the terms of any applicable plan or arrangement that may be in effect from time to time.</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6.</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10"/>
          </w:tcPr>
          <w:p>
            <w:pPr>
              <w:jc w:val="right"/>
              <w:spacing w:after="0"/>
              <w:rPr>
                <w:sz w:val="20"/>
                <w:szCs w:val="20"/>
                <w:color w:val="auto"/>
              </w:rPr>
            </w:pPr>
            <w:r>
              <w:rPr>
                <w:rFonts w:ascii="Times New Roman" w:cs="Times New Roman" w:eastAsia="Times New Roman" w:hAnsi="Times New Roman"/>
                <w:sz w:val="22"/>
                <w:szCs w:val="22"/>
                <w:color w:val="auto"/>
              </w:rPr>
              <w:t>Employee Benefits.  You will continue to be eligible to participate in the benefit plans and programs</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1120" w:type="dxa"/>
            <w:vAlign w:val="bottom"/>
            <w:gridSpan w:val="3"/>
          </w:tcPr>
          <w:p>
            <w:pPr>
              <w:ind w:left="320"/>
              <w:spacing w:after="0" w:line="236" w:lineRule="exact"/>
              <w:rPr>
                <w:sz w:val="20"/>
                <w:szCs w:val="20"/>
                <w:color w:val="auto"/>
              </w:rPr>
            </w:pPr>
            <w:r>
              <w:rPr>
                <w:rFonts w:ascii="Times New Roman" w:cs="Times New Roman" w:eastAsia="Times New Roman" w:hAnsi="Times New Roman"/>
                <w:sz w:val="22"/>
                <w:szCs w:val="22"/>
                <w:color w:val="auto"/>
                <w:w w:val="79"/>
              </w:rPr>
              <w:t>established</w:t>
            </w:r>
          </w:p>
        </w:tc>
        <w:tc>
          <w:tcPr>
            <w:tcW w:w="1700" w:type="dxa"/>
            <w:vAlign w:val="bottom"/>
            <w:tcBorders>
              <w:top w:val="single" w:sz="8" w:color="auto"/>
            </w:tcBorders>
            <w:gridSpan w:val="4"/>
          </w:tcPr>
          <w:p>
            <w:pPr>
              <w:ind w:left="240"/>
              <w:spacing w:after="0" w:line="236" w:lineRule="exact"/>
              <w:rPr>
                <w:sz w:val="20"/>
                <w:szCs w:val="20"/>
                <w:color w:val="auto"/>
              </w:rPr>
            </w:pPr>
            <w:r>
              <w:rPr>
                <w:rFonts w:ascii="Times New Roman" w:cs="Times New Roman" w:eastAsia="Times New Roman" w:hAnsi="Times New Roman"/>
                <w:sz w:val="22"/>
                <w:szCs w:val="22"/>
                <w:color w:val="auto"/>
                <w:w w:val="98"/>
              </w:rPr>
              <w:t>by the Company</w:t>
            </w:r>
          </w:p>
        </w:tc>
        <w:tc>
          <w:tcPr>
            <w:tcW w:w="140" w:type="dxa"/>
            <w:vAlign w:val="bottom"/>
          </w:tcPr>
          <w:p>
            <w:pPr>
              <w:spacing w:after="0"/>
              <w:rPr>
                <w:sz w:val="20"/>
                <w:szCs w:val="20"/>
                <w:color w:val="auto"/>
              </w:rPr>
            </w:pPr>
          </w:p>
        </w:tc>
        <w:tc>
          <w:tcPr>
            <w:tcW w:w="774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2"/>
                <w:szCs w:val="22"/>
                <w:color w:val="auto"/>
              </w:rPr>
              <w:t>for its employees from time to time, subject to their applicable terms and conditions,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rPr>
              <w:t>including without limitation any eligibility requirements. The Company will reimburse you for reasonable travel or</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rPr>
              <w:t>other expenses incurred by you in the furtherance of or in connection with the performance of your duties under this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rPr>
              <w:t>Agreement, pursuant to the terms of the Company’s expense reimbursement policy as may be in effect from time to</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rPr>
              <w:t>time.  The Company reserves the right to modify, amend, suspend or terminate the benefit plans, programs, and</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3"/>
          </w:tcPr>
          <w:p>
            <w:pPr>
              <w:ind w:left="320"/>
              <w:spacing w:after="0"/>
              <w:rPr>
                <w:sz w:val="20"/>
                <w:szCs w:val="20"/>
                <w:color w:val="auto"/>
              </w:rPr>
            </w:pPr>
            <w:r>
              <w:rPr>
                <w:rFonts w:ascii="Times New Roman" w:cs="Times New Roman" w:eastAsia="Times New Roman" w:hAnsi="Times New Roman"/>
                <w:sz w:val="22"/>
                <w:szCs w:val="22"/>
                <w:color w:val="auto"/>
              </w:rPr>
              <w:t>arrangements it offers to its employees at any time.</w:t>
            </w:r>
          </w:p>
        </w:tc>
        <w:tc>
          <w:tcPr>
            <w:tcW w:w="0" w:type="dxa"/>
            <w:vAlign w:val="bottom"/>
          </w:tcPr>
          <w:p>
            <w:pPr>
              <w:spacing w:after="0"/>
              <w:rPr>
                <w:sz w:val="1"/>
                <w:szCs w:val="1"/>
                <w:color w:val="auto"/>
              </w:rPr>
            </w:pPr>
          </w:p>
        </w:tc>
      </w:tr>
      <w:tr>
        <w:trPr>
          <w:trHeight w:val="40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7.</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10"/>
          </w:tcPr>
          <w:p>
            <w:pPr>
              <w:jc w:val="right"/>
              <w:spacing w:after="0"/>
              <w:rPr>
                <w:sz w:val="20"/>
                <w:szCs w:val="20"/>
                <w:color w:val="auto"/>
              </w:rPr>
            </w:pPr>
            <w:r>
              <w:rPr>
                <w:rFonts w:ascii="Times New Roman" w:cs="Times New Roman" w:eastAsia="Times New Roman" w:hAnsi="Times New Roman"/>
                <w:sz w:val="22"/>
                <w:szCs w:val="22"/>
                <w:color w:val="auto"/>
              </w:rPr>
              <w:t>Confidentiality Agreement. As an employee of the Company, you will continue to have access to certain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22"/>
                <w:szCs w:val="22"/>
                <w:color w:val="auto"/>
                <w:w w:val="74"/>
              </w:rPr>
              <w:t>confidential</w:t>
            </w:r>
          </w:p>
        </w:tc>
        <w:tc>
          <w:tcPr>
            <w:tcW w:w="1300" w:type="dxa"/>
            <w:vAlign w:val="bottom"/>
            <w:tcBorders>
              <w:right w:val="single" w:sz="8" w:color="auto"/>
            </w:tcBorders>
            <w:gridSpan w:val="3"/>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9580" w:type="dxa"/>
            <w:vAlign w:val="bottom"/>
            <w:gridSpan w:val="10"/>
          </w:tcPr>
          <w:p>
            <w:pPr>
              <w:jc w:val="right"/>
              <w:spacing w:after="0" w:line="236" w:lineRule="exact"/>
              <w:rPr>
                <w:sz w:val="20"/>
                <w:szCs w:val="20"/>
                <w:color w:val="auto"/>
              </w:rPr>
            </w:pPr>
            <w:r>
              <w:rPr>
                <w:rFonts w:ascii="Times New Roman" w:cs="Times New Roman" w:eastAsia="Times New Roman" w:hAnsi="Times New Roman"/>
                <w:sz w:val="22"/>
                <w:szCs w:val="22"/>
                <w:color w:val="auto"/>
              </w:rPr>
              <w:t>information of the Company and you may, during the course of your employment, develop certain</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3"/>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information or inventions that will be the property of the Company. To protect the interests of the Company, you agree</w:t>
            </w: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10700" w:type="dxa"/>
            <w:vAlign w:val="bottom"/>
            <w:gridSpan w:val="13"/>
          </w:tcPr>
          <w:p>
            <w:pPr>
              <w:ind w:left="320"/>
              <w:spacing w:after="0" w:line="239" w:lineRule="exact"/>
              <w:rPr>
                <w:sz w:val="20"/>
                <w:szCs w:val="20"/>
                <w:color w:val="auto"/>
              </w:rPr>
            </w:pPr>
            <w:r>
              <w:rPr>
                <w:rFonts w:ascii="Times New Roman" w:cs="Times New Roman" w:eastAsia="Times New Roman" w:hAnsi="Times New Roman"/>
                <w:sz w:val="22"/>
                <w:szCs w:val="22"/>
                <w:color w:val="auto"/>
              </w:rPr>
              <w:t>to enter into a Proprietary Information and Inventions Assignment Agreement with the Company in substantially the</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700" w:type="dxa"/>
            <w:vAlign w:val="bottom"/>
            <w:gridSpan w:val="13"/>
          </w:tcPr>
          <w:p>
            <w:pPr>
              <w:ind w:left="320"/>
              <w:spacing w:after="0" w:line="233" w:lineRule="exact"/>
              <w:rPr>
                <w:sz w:val="20"/>
                <w:szCs w:val="20"/>
                <w:color w:val="auto"/>
              </w:rPr>
            </w:pPr>
            <w:r>
              <w:rPr>
                <w:rFonts w:ascii="Times New Roman" w:cs="Times New Roman" w:eastAsia="Times New Roman" w:hAnsi="Times New Roman"/>
                <w:sz w:val="22"/>
                <w:szCs w:val="22"/>
                <w:color w:val="auto"/>
              </w:rPr>
              <w:t xml:space="preserve">form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“Confidentiality Agreement”).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right w:val="single" w:sz="8" w:color="auto"/>
            </w:tcBorders>
            <w:gridSpan w:val="3"/>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8.</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10"/>
          </w:tcPr>
          <w:p>
            <w:pPr>
              <w:jc w:val="right"/>
              <w:spacing w:after="0"/>
              <w:rPr>
                <w:sz w:val="20"/>
                <w:szCs w:val="20"/>
                <w:color w:val="auto"/>
              </w:rPr>
            </w:pPr>
            <w:r>
              <w:rPr>
                <w:rFonts w:ascii="Times New Roman" w:cs="Times New Roman" w:eastAsia="Times New Roman" w:hAnsi="Times New Roman"/>
                <w:sz w:val="22"/>
                <w:szCs w:val="22"/>
                <w:color w:val="auto"/>
                <w:w w:val="98"/>
              </w:rPr>
              <w:t>At-Will Employment. This Agreement does not imply any right to your continued employment for any period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22"/>
                <w:szCs w:val="22"/>
                <w:color w:val="auto"/>
              </w:rPr>
              <w:t>with the</w:t>
            </w:r>
          </w:p>
        </w:tc>
        <w:tc>
          <w:tcPr>
            <w:tcW w:w="1840" w:type="dxa"/>
            <w:vAlign w:val="bottom"/>
            <w:gridSpan w:val="5"/>
            <w:shd w:val="clear" w:color="auto" w:fill="000000"/>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60" w:type="dxa"/>
            <w:vAlign w:val="bottom"/>
          </w:tcPr>
          <w:p>
            <w:pPr>
              <w:spacing w:after="0"/>
              <w:rPr>
                <w:sz w:val="23"/>
                <w:szCs w:val="23"/>
                <w:color w:val="auto"/>
              </w:rPr>
            </w:pPr>
          </w:p>
        </w:tc>
        <w:tc>
          <w:tcPr>
            <w:tcW w:w="1120" w:type="dxa"/>
            <w:vAlign w:val="bottom"/>
            <w:gridSpan w:val="3"/>
            <w:vMerge w:val="continue"/>
          </w:tcPr>
          <w:p>
            <w:pPr>
              <w:spacing w:after="0"/>
              <w:rPr>
                <w:sz w:val="23"/>
                <w:szCs w:val="23"/>
                <w:color w:val="auto"/>
              </w:rPr>
            </w:pPr>
          </w:p>
        </w:tc>
        <w:tc>
          <w:tcPr>
            <w:tcW w:w="9580" w:type="dxa"/>
            <w:vAlign w:val="bottom"/>
            <w:gridSpan w:val="10"/>
          </w:tcPr>
          <w:p>
            <w:pPr>
              <w:jc w:val="right"/>
              <w:spacing w:after="0"/>
              <w:rPr>
                <w:sz w:val="20"/>
                <w:szCs w:val="20"/>
                <w:color w:val="auto"/>
              </w:rPr>
            </w:pPr>
            <w:r>
              <w:rPr>
                <w:rFonts w:ascii="Times New Roman" w:cs="Times New Roman" w:eastAsia="Times New Roman" w:hAnsi="Times New Roman"/>
                <w:sz w:val="22"/>
                <w:szCs w:val="22"/>
                <w:color w:val="auto"/>
                <w:w w:val="99"/>
              </w:rPr>
              <w:t>Company or any parent, subsidiary, or affiliate of the Company. Your employment with the Company is and</w:t>
            </w:r>
          </w:p>
        </w:tc>
        <w:tc>
          <w:tcPr>
            <w:tcW w:w="0" w:type="dxa"/>
            <w:vAlign w:val="bottom"/>
          </w:tcPr>
          <w:p>
            <w:pPr>
              <w:spacing w:after="0"/>
              <w:rPr>
                <w:sz w:val="1"/>
                <w:szCs w:val="1"/>
                <w:color w:val="auto"/>
              </w:rPr>
            </w:pPr>
          </w:p>
        </w:tc>
      </w:tr>
    </w:tbl>
    <w:p>
      <w:pPr>
        <w:ind w:left="780"/>
        <w:spacing w:after="0" w:line="255" w:lineRule="exact"/>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302260</wp:posOffset>
            </wp:positionH>
            <wp:positionV relativeFrom="page">
              <wp:posOffset>182880</wp:posOffset>
            </wp:positionV>
            <wp:extent cx="1234440" cy="6172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t>will continue to be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as defined under applicable law. This Agreement and any provisions under it will not interfere with or limit</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173990</wp:posOffset>
            </wp:positionV>
            <wp:extent cx="7149465"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711" w:right="339"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182880</wp:posOffset>
            </wp:positionV>
            <wp:extent cx="7037705" cy="6261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5">
                      <a:extLst>
                        <a:ext uri="{28A0092B-C50C-407E-A947-70E740481C1C}"/>
                      </a:extLst>
                    </a:blip>
                    <a:srcRect/>
                    <a:stretch>
                      <a:fillRect/>
                    </a:stretch>
                  </pic:blipFill>
                  <pic:spPr bwMode="auto">
                    <a:xfrm>
                      <a:off x="0" y="0"/>
                      <a:ext cx="7037705" cy="626110"/>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80" w:lineRule="exact"/>
        <w:rPr>
          <w:sz w:val="20"/>
          <w:szCs w:val="20"/>
          <w:color w:val="auto"/>
        </w:rPr>
      </w:pPr>
    </w:p>
    <w:p>
      <w:pPr>
        <w:jc w:val="both"/>
        <w:ind w:left="780" w:right="20" w:firstLine="798"/>
        <w:spacing w:after="0" w:line="258" w:lineRule="auto"/>
        <w:rPr>
          <w:sz w:val="20"/>
          <w:szCs w:val="20"/>
          <w:color w:val="auto"/>
        </w:rPr>
      </w:pPr>
      <w:r>
        <w:rPr>
          <w:rFonts w:ascii="Times New Roman" w:cs="Times New Roman" w:eastAsia="Times New Roman" w:hAnsi="Times New Roman"/>
          <w:sz w:val="22"/>
          <w:szCs w:val="22"/>
          <w:color w:val="auto"/>
        </w:rPr>
        <w:t>in any way your or the Company’s right to terminate your employment relationship with the Company at any time, with or without cause, to the extent permitted by applicable laws.</w:t>
      </w:r>
    </w:p>
    <w:p>
      <w:pPr>
        <w:spacing w:after="0" w:line="158" w:lineRule="exact"/>
        <w:rPr>
          <w:sz w:val="20"/>
          <w:szCs w:val="20"/>
          <w:color w:val="auto"/>
        </w:rPr>
      </w:pPr>
    </w:p>
    <w:p>
      <w:pPr>
        <w:jc w:val="both"/>
        <w:ind w:left="780" w:hanging="784"/>
        <w:spacing w:after="0" w:line="233" w:lineRule="auto"/>
        <w:tabs>
          <w:tab w:leader="none" w:pos="760" w:val="left"/>
        </w:tabs>
        <w:rPr>
          <w:sz w:val="20"/>
          <w:szCs w:val="20"/>
          <w:color w:val="auto"/>
        </w:rPr>
      </w:pPr>
      <w:r>
        <w:rPr>
          <w:rFonts w:ascii="Times New Roman" w:cs="Times New Roman" w:eastAsia="Times New Roman" w:hAnsi="Times New Roman"/>
          <w:sz w:val="22"/>
          <w:szCs w:val="22"/>
          <w:color w:val="auto"/>
        </w:rPr>
        <w:t>9.</w:t>
      </w:r>
      <w:r>
        <w:rPr>
          <w:sz w:val="20"/>
          <w:szCs w:val="20"/>
          <w:color w:val="auto"/>
        </w:rPr>
        <w:tab/>
      </w:r>
      <w:r>
        <w:rPr>
          <w:rFonts w:ascii="Times New Roman" w:cs="Times New Roman" w:eastAsia="Times New Roman" w:hAnsi="Times New Roman"/>
          <w:sz w:val="22"/>
          <w:szCs w:val="22"/>
          <w:u w:val="single" w:color="auto"/>
          <w:color w:val="auto"/>
        </w:rPr>
        <w:t>Protected Activity Not Prohibited</w:t>
      </w:r>
      <w:r>
        <w:rPr>
          <w:rFonts w:ascii="Times New Roman" w:cs="Times New Roman" w:eastAsia="Times New Roman" w:hAnsi="Times New Roman"/>
          <w:sz w:val="22"/>
          <w:szCs w:val="22"/>
          <w:color w:val="auto"/>
        </w:rPr>
        <w:t>. The Company and you acknowledge and agree that nothing in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780" w:hanging="784"/>
        <w:spacing w:after="0" w:line="235" w:lineRule="auto"/>
        <w:tabs>
          <w:tab w:leader="none" w:pos="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Agreement, together with the Confidentiality Agreement, the Severance Agreement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stock options granted to you by the Company under its 2014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Washington but without regard to the conflict of law provision. This Agreement may be modified only by a written agreement signed by a duly authorized officer of the Company (other than yourself) and you.</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173990</wp:posOffset>
            </wp:positionV>
            <wp:extent cx="7149465"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724" w:right="339" w:bottom="1440" w:gutter="0" w:footer="0" w:header="0"/>
        </w:sectPr>
      </w:pPr>
    </w:p>
    <w:bookmarkStart w:id="500" w:name="page501"/>
    <w:bookmarkEnd w:id="500"/>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182880</wp:posOffset>
            </wp:positionV>
            <wp:extent cx="7037705" cy="62611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7">
                      <a:extLst>
                        <a:ext uri="{28A0092B-C50C-407E-A947-70E740481C1C}"/>
                      </a:extLst>
                    </a:blip>
                    <a:srcRect/>
                    <a:stretch>
                      <a:fillRect/>
                    </a:stretch>
                  </pic:blipFill>
                  <pic:spPr bwMode="auto">
                    <a:xfrm>
                      <a:off x="0" y="0"/>
                      <a:ext cx="7037705" cy="626110"/>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confirm the current terms and conditions of your employment, please sign and date in the spaces indicated and return this Agreement to me.</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06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6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Leen Kawas</w:t>
            </w:r>
          </w:p>
        </w:tc>
      </w:tr>
      <w:tr>
        <w:trPr>
          <w:trHeight w:val="236"/>
        </w:trPr>
        <w:tc>
          <w:tcPr>
            <w:tcW w:w="360" w:type="dxa"/>
            <w:vAlign w:val="bottom"/>
          </w:tcPr>
          <w:p>
            <w:pPr>
              <w:spacing w:after="0"/>
              <w:rPr>
                <w:sz w:val="20"/>
                <w:szCs w:val="20"/>
                <w:color w:val="auto"/>
              </w:rPr>
            </w:pPr>
          </w:p>
        </w:tc>
        <w:tc>
          <w:tcPr>
            <w:tcW w:w="660" w:type="dxa"/>
            <w:vAlign w:val="bottom"/>
          </w:tcPr>
          <w:p>
            <w:pPr>
              <w:ind w:left="60"/>
              <w:spacing w:after="0" w:line="236" w:lineRule="exact"/>
              <w:rPr>
                <w:sz w:val="20"/>
                <w:szCs w:val="20"/>
                <w:color w:val="auto"/>
              </w:rPr>
            </w:pPr>
            <w:r>
              <w:rPr>
                <w:rFonts w:ascii="Times New Roman" w:cs="Times New Roman" w:eastAsia="Times New Roman" w:hAnsi="Times New Roman"/>
                <w:sz w:val="22"/>
                <w:szCs w:val="22"/>
                <w:color w:val="auto"/>
              </w:rPr>
              <w:t>Leen</w:t>
            </w:r>
          </w:p>
        </w:tc>
        <w:tc>
          <w:tcPr>
            <w:tcW w:w="13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Kawas, Ph.D.</w:t>
            </w:r>
          </w:p>
        </w:tc>
        <w:tc>
          <w:tcPr>
            <w:tcW w:w="160" w:type="dxa"/>
            <w:vAlign w:val="bottom"/>
          </w:tcPr>
          <w:p>
            <w:pPr>
              <w:spacing w:after="0"/>
              <w:rPr>
                <w:sz w:val="20"/>
                <w:szCs w:val="20"/>
                <w:color w:val="auto"/>
              </w:rPr>
            </w:pPr>
          </w:p>
        </w:tc>
      </w:tr>
      <w:tr>
        <w:trPr>
          <w:trHeight w:val="282"/>
        </w:trPr>
        <w:tc>
          <w:tcPr>
            <w:tcW w:w="360" w:type="dxa"/>
            <w:vAlign w:val="bottom"/>
          </w:tcPr>
          <w:p>
            <w:pPr>
              <w:spacing w:after="0"/>
              <w:rPr>
                <w:sz w:val="24"/>
                <w:szCs w:val="24"/>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Chief Executive Officer</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Kevin Church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Kevin Church, Ph.D.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September 8, 2020</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9465"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501" w:name="page502"/>
    <w:bookmarkEnd w:id="501"/>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182880</wp:posOffset>
            </wp:positionV>
            <wp:extent cx="7037705" cy="62611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9">
                      <a:extLst>
                        <a:ext uri="{28A0092B-C50C-407E-A947-70E740481C1C}"/>
                      </a:extLst>
                    </a:blip>
                    <a:srcRect/>
                    <a:stretch>
                      <a:fillRect/>
                    </a:stretch>
                  </pic:blipFill>
                  <pic:spPr bwMode="auto">
                    <a:xfrm>
                      <a:off x="0" y="0"/>
                      <a:ext cx="7037705" cy="626110"/>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Proprietary Information and Inventions Assignment Agreement</w:t>
      </w: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49465"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724" w:right="339" w:bottom="1440" w:gutter="0" w:footer="0" w:header="0"/>
        </w:sectPr>
      </w:pPr>
    </w:p>
    <w:bookmarkStart w:id="502" w:name="page503"/>
    <w:bookmarkEnd w:id="502"/>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182880</wp:posOffset>
            </wp:positionV>
            <wp:extent cx="7037705" cy="62611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1">
                      <a:extLst>
                        <a:ext uri="{28A0092B-C50C-407E-A947-70E740481C1C}"/>
                      </a:extLst>
                    </a:blip>
                    <a:srcRect/>
                    <a:stretch>
                      <a:fillRect/>
                    </a:stretch>
                  </pic:blipFill>
                  <pic:spPr bwMode="auto">
                    <a:xfrm>
                      <a:off x="0" y="0"/>
                      <a:ext cx="7037705" cy="626110"/>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 of the Defend Trade Secrets Act of 2016</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724" w:right="339" w:bottom="1440" w:gutter="0" w:footer="0" w:header="0"/>
        </w:sectPr>
      </w:pPr>
    </w:p>
    <w:bookmarkStart w:id="503" w:name="page504"/>
    <w:bookmarkEnd w:id="503"/>
    <w:p>
      <w:pPr>
        <w:jc w:val="right"/>
        <w:spacing w:after="0"/>
        <w:rPr>
          <w:sz w:val="20"/>
          <w:szCs w:val="20"/>
          <w:color w:val="auto"/>
        </w:rPr>
      </w:pPr>
      <w:r>
        <w:rPr>
          <w:rFonts w:ascii="Times New Roman" w:cs="Times New Roman" w:eastAsia="Times New Roman" w:hAnsi="Times New Roman"/>
          <w:sz w:val="22"/>
          <w:szCs w:val="22"/>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107950</wp:posOffset>
            </wp:positionV>
            <wp:extent cx="7037705" cy="62611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2">
                      <a:extLst>
                        <a:ext uri="{28A0092B-C50C-407E-A947-70E740481C1C}"/>
                      </a:extLst>
                    </a:blip>
                    <a:srcRect/>
                    <a:stretch>
                      <a:fillRect/>
                    </a:stretch>
                  </pic:blipFill>
                  <pic:spPr bwMode="auto">
                    <a:xfrm>
                      <a:off x="0" y="0"/>
                      <a:ext cx="7037705" cy="6261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8, 2020</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Glenna Mileson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Via Email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Confirmatory Employment Letter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Glenna:</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confirmatory employment letter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Glenna Mileson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and Athira 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we</w:t>
      </w:r>
      <w:r>
        <w:rPr>
          <w:rFonts w:ascii="Times New Roman" w:cs="Times New Roman" w:eastAsia="Times New Roman" w:hAnsi="Times New Roman"/>
          <w:sz w:val="22"/>
          <w:szCs w:val="22"/>
          <w:color w:val="auto"/>
        </w:rPr>
        <w:t>”), effective as of September 8,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to confirm the terms and conditions of your employment with the Company as of the Effective Date.</w:t>
      </w:r>
    </w:p>
    <w:p>
      <w:pPr>
        <w:spacing w:after="0" w:line="173" w:lineRule="exact"/>
        <w:rPr>
          <w:sz w:val="20"/>
          <w:szCs w:val="20"/>
          <w:color w:val="auto"/>
        </w:rPr>
      </w:pPr>
    </w:p>
    <w:p>
      <w:pPr>
        <w:jc w:val="both"/>
        <w:ind w:left="860" w:hanging="784"/>
        <w:spacing w:after="0" w:line="234" w:lineRule="auto"/>
        <w:tabs>
          <w:tab w:leader="none" w:pos="84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u w:val="single" w:color="auto"/>
          <w:color w:val="auto"/>
        </w:rPr>
        <w:t>Title; Position</w:t>
      </w:r>
      <w:r>
        <w:rPr>
          <w:rFonts w:ascii="Times New Roman" w:cs="Times New Roman" w:eastAsia="Times New Roman" w:hAnsi="Times New Roman"/>
          <w:sz w:val="22"/>
          <w:szCs w:val="22"/>
          <w:color w:val="auto"/>
        </w:rPr>
        <w:t>. You will continue to serve as the Company’s Chief Financial Officer. You also will continue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report to the Company’s Chief Executive Officer and will perform the duties and responsibilities customary for such position and such other related duties as are reasonably assigned by the Company’s Chief Executive Officer. While you render services to the Company, you will not engage in any other employment, occupation, or consulting activity for any direct or indirect remuneration or otherwise without the prior written approval of the Board. You may engage in charitable and community activities as well as own, as a passive investment, less than two percent (2%) of the capital stock of any corporation listed on the national securities exchange or publicly traded in the over-the-counter market, as long as such activities do not interfere with the performance of your duties under this Agreement. By signing this Agreement, you confirm that you have no contractual commitments or other legal obligations that would prohibit you from performing your duties for the Company.</w:t>
      </w:r>
    </w:p>
    <w:p>
      <w:pPr>
        <w:spacing w:after="0" w:line="179" w:lineRule="exact"/>
        <w:rPr>
          <w:sz w:val="20"/>
          <w:szCs w:val="20"/>
          <w:color w:val="auto"/>
        </w:rPr>
      </w:pPr>
    </w:p>
    <w:p>
      <w:pPr>
        <w:jc w:val="both"/>
        <w:ind w:left="860" w:hanging="784"/>
        <w:spacing w:after="0" w:line="239" w:lineRule="auto"/>
        <w:tabs>
          <w:tab w:leader="none" w:pos="84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You will perform your duties from the Company’s corporate offices located in Seattle, Washington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80" w:lineRule="exact"/>
        <w:rPr>
          <w:sz w:val="20"/>
          <w:szCs w:val="20"/>
          <w:color w:val="auto"/>
        </w:rPr>
      </w:pPr>
    </w:p>
    <w:p>
      <w:pPr>
        <w:jc w:val="both"/>
        <w:ind w:left="860" w:hanging="784"/>
        <w:spacing w:after="0" w:line="239" w:lineRule="auto"/>
        <w:tabs>
          <w:tab w:leader="none" w:pos="8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your annual base salary will be $200,000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which will be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payable, less any applicable withholdings, in accordance with the Company’s normal payroll practices. Our Board has approved that, provided you remain employed through the Company’s initial public offering, your Salary will be increased to $385,000 effective as of the effective date of the Company’s registration statement relating to such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49465"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4" w:name="page505"/>
    <w:bookmarkEnd w:id="504"/>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 MASON RD</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SUITE 300, BOX 352141</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SEATTLE, WA 98195-2141</w:t>
            </w:r>
          </w:p>
        </w:tc>
        <w:tc>
          <w:tcPr>
            <w:tcW w:w="0" w:type="dxa"/>
            <w:vAlign w:val="bottom"/>
          </w:tcPr>
          <w:p>
            <w:pPr>
              <w:spacing w:after="0"/>
              <w:rPr>
                <w:sz w:val="1"/>
                <w:szCs w:val="1"/>
                <w:color w:val="auto"/>
              </w:rPr>
            </w:pPr>
          </w:p>
        </w:tc>
      </w:tr>
      <w:tr>
        <w:trPr>
          <w:trHeight w:val="44"/>
        </w:trPr>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356699"/>
            </w:tcBorders>
          </w:tcPr>
          <w:p>
            <w:pPr>
              <w:spacing w:after="0"/>
              <w:rPr>
                <w:sz w:val="3"/>
                <w:szCs w:val="3"/>
                <w:color w:val="auto"/>
              </w:rPr>
            </w:pPr>
          </w:p>
        </w:tc>
        <w:tc>
          <w:tcPr>
            <w:tcW w:w="160" w:type="dxa"/>
            <w:vAlign w:val="bottom"/>
            <w:tcBorders>
              <w:bottom w:val="single" w:sz="8" w:color="356699"/>
            </w:tcBorders>
          </w:tcPr>
          <w:p>
            <w:pPr>
              <w:spacing w:after="0"/>
              <w:rPr>
                <w:sz w:val="3"/>
                <w:szCs w:val="3"/>
                <w:color w:val="auto"/>
              </w:rPr>
            </w:pPr>
          </w:p>
        </w:tc>
        <w:tc>
          <w:tcPr>
            <w:tcW w:w="720" w:type="dxa"/>
            <w:vAlign w:val="bottom"/>
            <w:tcBorders>
              <w:bottom w:val="single" w:sz="8" w:color="356699"/>
            </w:tcBorders>
          </w:tcPr>
          <w:p>
            <w:pPr>
              <w:spacing w:after="0"/>
              <w:rPr>
                <w:sz w:val="3"/>
                <w:szCs w:val="3"/>
                <w:color w:val="auto"/>
              </w:rPr>
            </w:pPr>
          </w:p>
        </w:tc>
        <w:tc>
          <w:tcPr>
            <w:tcW w:w="360" w:type="dxa"/>
            <w:vAlign w:val="bottom"/>
            <w:tcBorders>
              <w:bottom w:val="single" w:sz="8" w:color="356699"/>
            </w:tcBorders>
          </w:tcPr>
          <w:p>
            <w:pPr>
              <w:spacing w:after="0"/>
              <w:rPr>
                <w:sz w:val="3"/>
                <w:szCs w:val="3"/>
                <w:color w:val="auto"/>
              </w:rPr>
            </w:pPr>
          </w:p>
        </w:tc>
        <w:tc>
          <w:tcPr>
            <w:tcW w:w="40" w:type="dxa"/>
            <w:vAlign w:val="bottom"/>
            <w:tcBorders>
              <w:bottom w:val="single" w:sz="8" w:color="356699"/>
            </w:tcBorders>
          </w:tcPr>
          <w:p>
            <w:pPr>
              <w:spacing w:after="0"/>
              <w:rPr>
                <w:sz w:val="3"/>
                <w:szCs w:val="3"/>
                <w:color w:val="auto"/>
              </w:rPr>
            </w:pPr>
          </w:p>
        </w:tc>
        <w:tc>
          <w:tcPr>
            <w:tcW w:w="420" w:type="dxa"/>
            <w:vAlign w:val="bottom"/>
            <w:tcBorders>
              <w:bottom w:val="single" w:sz="8" w:color="356699"/>
            </w:tcBorders>
          </w:tcPr>
          <w:p>
            <w:pPr>
              <w:spacing w:after="0"/>
              <w:rPr>
                <w:sz w:val="3"/>
                <w:szCs w:val="3"/>
                <w:color w:val="auto"/>
              </w:rPr>
            </w:pPr>
          </w:p>
        </w:tc>
        <w:tc>
          <w:tcPr>
            <w:tcW w:w="1380" w:type="dxa"/>
            <w:vAlign w:val="bottom"/>
            <w:tcBorders>
              <w:bottom w:val="single" w:sz="8" w:color="356699"/>
            </w:tcBorders>
          </w:tcPr>
          <w:p>
            <w:pPr>
              <w:spacing w:after="0"/>
              <w:rPr>
                <w:sz w:val="3"/>
                <w:szCs w:val="3"/>
                <w:color w:val="auto"/>
              </w:rPr>
            </w:pPr>
          </w:p>
        </w:tc>
        <w:tc>
          <w:tcPr>
            <w:tcW w:w="960" w:type="dxa"/>
            <w:vAlign w:val="bottom"/>
            <w:tcBorders>
              <w:bottom w:val="single" w:sz="8" w:color="356699"/>
            </w:tcBorders>
          </w:tcPr>
          <w:p>
            <w:pPr>
              <w:spacing w:after="0"/>
              <w:rPr>
                <w:sz w:val="3"/>
                <w:szCs w:val="3"/>
                <w:color w:val="auto"/>
              </w:rPr>
            </w:pPr>
          </w:p>
        </w:tc>
        <w:tc>
          <w:tcPr>
            <w:tcW w:w="4640" w:type="dxa"/>
            <w:vAlign w:val="bottom"/>
            <w:tcBorders>
              <w:bottom w:val="single" w:sz="8" w:color="356699"/>
            </w:tcBorders>
          </w:tcPr>
          <w:p>
            <w:pPr>
              <w:spacing w:after="0"/>
              <w:rPr>
                <w:sz w:val="3"/>
                <w:szCs w:val="3"/>
                <w:color w:val="auto"/>
              </w:rPr>
            </w:pPr>
          </w:p>
        </w:tc>
        <w:tc>
          <w:tcPr>
            <w:tcW w:w="900" w:type="dxa"/>
            <w:vAlign w:val="bottom"/>
            <w:tcBorders>
              <w:bottom w:val="single" w:sz="8" w:color="356699"/>
            </w:tcBorders>
          </w:tcPr>
          <w:p>
            <w:pPr>
              <w:spacing w:after="0"/>
              <w:rPr>
                <w:sz w:val="3"/>
                <w:szCs w:val="3"/>
                <w:color w:val="auto"/>
              </w:rPr>
            </w:pPr>
          </w:p>
        </w:tc>
        <w:tc>
          <w:tcPr>
            <w:tcW w:w="0" w:type="dxa"/>
            <w:vAlign w:val="bottom"/>
          </w:tcPr>
          <w:p>
            <w:pPr>
              <w:spacing w:after="0"/>
              <w:rPr>
                <w:sz w:val="1"/>
                <w:szCs w:val="1"/>
                <w:color w:val="auto"/>
              </w:rPr>
            </w:pPr>
          </w:p>
        </w:tc>
      </w:tr>
      <w:tr>
        <w:trPr>
          <w:trHeight w:val="648"/>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rPr>
              <w:t>public offering. Your annual base salary will be subject to review and adjustment from time to time by our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0700" w:type="dxa"/>
            <w:vAlign w:val="bottom"/>
            <w:gridSpan w:val="12"/>
          </w:tcPr>
          <w:p>
            <w:pPr>
              <w:ind w:left="320"/>
              <w:spacing w:after="0" w:line="230" w:lineRule="exact"/>
              <w:rPr>
                <w:sz w:val="20"/>
                <w:szCs w:val="20"/>
                <w:color w:val="auto"/>
              </w:rPr>
            </w:pPr>
            <w:r>
              <w:rPr>
                <w:rFonts w:ascii="Times New Roman" w:cs="Times New Roman" w:eastAsia="Times New Roman" w:hAnsi="Times New Roman"/>
                <w:sz w:val="22"/>
                <w:szCs w:val="22"/>
                <w:color w:val="auto"/>
              </w:rPr>
              <w:t>Board or its Compensation Committee (the “Committee”), as applicable, in its sole discretion.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w w:val="98"/>
              </w:rPr>
              <w:t>Annual Bonus. For the Company’s 2020 fiscal year, you will have the opportunity to earn a target annual cash</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10700" w:type="dxa"/>
            <w:vAlign w:val="bottom"/>
            <w:gridSpan w:val="12"/>
          </w:tcPr>
          <w:p>
            <w:pPr>
              <w:ind w:left="320"/>
              <w:spacing w:after="0" w:line="236" w:lineRule="exact"/>
              <w:rPr>
                <w:sz w:val="20"/>
                <w:szCs w:val="20"/>
                <w:color w:val="auto"/>
              </w:rPr>
            </w:pPr>
            <w:r>
              <w:rPr>
                <w:rFonts w:ascii="Times New Roman" w:cs="Times New Roman" w:eastAsia="Times New Roman" w:hAnsi="Times New Roman"/>
                <w:sz w:val="22"/>
                <w:szCs w:val="22"/>
                <w:color w:val="auto"/>
                <w:w w:val="99"/>
              </w:rPr>
              <w:t>bonus equal to forty percent (40%) of your annual base salary, based on achieving performance objectives established</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by the Board or the Committee, as applicable, in its sole discretion and payable upon achievement of those objectives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as determined by the Committee. Unless determined otherwise by the Board or Committee, as applicable, any such</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bonus will be subject to your continued employment through and until the date of payment, and any such bonus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amounts paid will be subject to any applicable withholdings. Your annual bonus opportunity and the applicable terms</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w w:val="99"/>
              </w:rPr>
              <w:t>and conditions may be adjusted from time to time by our Board or the Committee, as applicable, in its sole discretion.</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w w:val="98"/>
              </w:rPr>
              <w:t>Equity Awards. You will be eligible to receive awards of stock options or other equity awards pursuant to any</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22"/>
                <w:szCs w:val="22"/>
                <w:color w:val="auto"/>
              </w:rPr>
              <w:t>plans or</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9580" w:type="dxa"/>
            <w:vAlign w:val="bottom"/>
            <w:gridSpan w:val="9"/>
          </w:tcPr>
          <w:p>
            <w:pPr>
              <w:jc w:val="right"/>
              <w:spacing w:after="0" w:line="236" w:lineRule="exact"/>
              <w:rPr>
                <w:sz w:val="20"/>
                <w:szCs w:val="20"/>
                <w:color w:val="auto"/>
              </w:rPr>
            </w:pPr>
            <w:r>
              <w:rPr>
                <w:rFonts w:ascii="Times New Roman" w:cs="Times New Roman" w:eastAsia="Times New Roman" w:hAnsi="Times New Roman"/>
                <w:sz w:val="22"/>
                <w:szCs w:val="22"/>
                <w:color w:val="auto"/>
                <w:w w:val="98"/>
              </w:rPr>
              <w:t>arrangements the Company may have in effect from time to time. The Board or Committee, as applicable, will</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determine in its sole discretion whether you will be granted any such equity awards and the terms of any such award in</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rPr>
              <w:t>accordance with the terms of any applicable plan or arrangement that may be in effect from time to time.</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rPr>
              <w:t>Employee Benefits.  You will continue to be eligible to participate in the benefit plans and programs</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1120" w:type="dxa"/>
            <w:vAlign w:val="bottom"/>
            <w:gridSpan w:val="3"/>
          </w:tcPr>
          <w:p>
            <w:pPr>
              <w:ind w:left="320"/>
              <w:spacing w:after="0" w:line="236" w:lineRule="exact"/>
              <w:rPr>
                <w:sz w:val="20"/>
                <w:szCs w:val="20"/>
                <w:color w:val="auto"/>
              </w:rPr>
            </w:pPr>
            <w:r>
              <w:rPr>
                <w:rFonts w:ascii="Times New Roman" w:cs="Times New Roman" w:eastAsia="Times New Roman" w:hAnsi="Times New Roman"/>
                <w:sz w:val="22"/>
                <w:szCs w:val="22"/>
                <w:color w:val="auto"/>
                <w:w w:val="79"/>
              </w:rPr>
              <w:t>established</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ind w:left="80"/>
              <w:spacing w:after="0" w:line="236" w:lineRule="exact"/>
              <w:rPr>
                <w:sz w:val="20"/>
                <w:szCs w:val="20"/>
                <w:color w:val="auto"/>
              </w:rPr>
            </w:pPr>
            <w:r>
              <w:rPr>
                <w:rFonts w:ascii="Times New Roman" w:cs="Times New Roman" w:eastAsia="Times New Roman" w:hAnsi="Times New Roman"/>
                <w:sz w:val="22"/>
                <w:szCs w:val="22"/>
                <w:color w:val="auto"/>
                <w:w w:val="98"/>
              </w:rPr>
              <w:t>by the Company</w:t>
            </w:r>
          </w:p>
        </w:tc>
        <w:tc>
          <w:tcPr>
            <w:tcW w:w="78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2"/>
                <w:szCs w:val="22"/>
                <w:color w:val="auto"/>
              </w:rPr>
              <w:t>for its employees from time to time, subject to their applicable terms and conditions,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including without limitation any eligibility requirements. The Company will reimburse you for reasonable travel or</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other expenses incurred by you in the furtherance of or in connection with the performance of your duties under this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Agreement, pursuant to the terms of the Company’s expense reimbursement policy as may be in effect from time to</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time.  The Company reserves the right to modify, amend, suspend or terminate the benefit plans, programs, and</w:t>
            </w: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rPr>
              <w:t>arrangements it offers to its employees at any time.</w:t>
            </w:r>
          </w:p>
        </w:tc>
        <w:tc>
          <w:tcPr>
            <w:tcW w:w="0" w:type="dxa"/>
            <w:vAlign w:val="bottom"/>
          </w:tcPr>
          <w:p>
            <w:pPr>
              <w:spacing w:after="0"/>
              <w:rPr>
                <w:sz w:val="1"/>
                <w:szCs w:val="1"/>
                <w:color w:val="auto"/>
              </w:rPr>
            </w:pPr>
          </w:p>
        </w:tc>
      </w:tr>
      <w:tr>
        <w:trPr>
          <w:trHeight w:val="40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84"/>
              </w:rPr>
              <w:t>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jc w:val="right"/>
              <w:spacing w:after="0"/>
              <w:rPr>
                <w:sz w:val="20"/>
                <w:szCs w:val="20"/>
                <w:color w:val="auto"/>
              </w:rPr>
            </w:pPr>
            <w:r>
              <w:rPr>
                <w:rFonts w:ascii="Times New Roman" w:cs="Times New Roman" w:eastAsia="Times New Roman" w:hAnsi="Times New Roman"/>
                <w:sz w:val="22"/>
                <w:szCs w:val="22"/>
                <w:color w:val="auto"/>
              </w:rPr>
              <w:t>Severance. You will be eligible to enter into a Change in Control and Severance Agreement (the “Severance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20" w:type="dxa"/>
            <w:vAlign w:val="bottom"/>
            <w:gridSpan w:val="3"/>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79"/>
              </w:rPr>
              <w:t>Agreement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0" w:type="dxa"/>
            <w:vAlign w:val="bottom"/>
            <w:gridSpan w:val="6"/>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42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2"/>
                <w:szCs w:val="22"/>
                <w:color w:val="auto"/>
              </w:rPr>
              <w:t>”) applicable to you based on your position within the Company. Any Severance Agreement will become</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w w:val="93"/>
              </w:rPr>
              <w:t>effective as</w:t>
            </w:r>
          </w:p>
        </w:tc>
        <w:tc>
          <w:tcPr>
            <w:tcW w:w="9420" w:type="dxa"/>
            <w:vAlign w:val="bottom"/>
            <w:gridSpan w:val="8"/>
          </w:tcPr>
          <w:p>
            <w:pPr>
              <w:jc w:val="right"/>
              <w:spacing w:after="0" w:line="236" w:lineRule="exact"/>
              <w:rPr>
                <w:sz w:val="20"/>
                <w:szCs w:val="20"/>
                <w:color w:val="auto"/>
              </w:rPr>
            </w:pPr>
            <w:r>
              <w:rPr>
                <w:rFonts w:ascii="Times New Roman" w:cs="Times New Roman" w:eastAsia="Times New Roman" w:hAnsi="Times New Roman"/>
                <w:sz w:val="22"/>
                <w:szCs w:val="22"/>
                <w:color w:val="auto"/>
                <w:w w:val="99"/>
              </w:rPr>
              <w:t>of the business day immediately prior to the effective date of the Company’s registration statement relating</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rPr>
              <w:t>to the Company’s initial public offering. The Severance Agreement will specify the severance payments and benefits</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700" w:type="dxa"/>
            <w:vAlign w:val="bottom"/>
            <w:gridSpan w:val="12"/>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you may become entitled to receive in connection with a change in control of the Company as well as certain qualifying</w:t>
            </w:r>
          </w:p>
        </w:tc>
        <w:tc>
          <w:tcPr>
            <w:tcW w:w="0" w:type="dxa"/>
            <w:vAlign w:val="bottom"/>
          </w:tcPr>
          <w:p>
            <w:pPr>
              <w:spacing w:after="0"/>
              <w:rPr>
                <w:sz w:val="1"/>
                <w:szCs w:val="1"/>
                <w:color w:val="auto"/>
              </w:rPr>
            </w:pPr>
          </w:p>
        </w:tc>
      </w:tr>
      <w:tr>
        <w:trPr>
          <w:trHeight w:val="267"/>
        </w:trPr>
        <w:tc>
          <w:tcPr>
            <w:tcW w:w="460" w:type="dxa"/>
            <w:vAlign w:val="bottom"/>
          </w:tcPr>
          <w:p>
            <w:pPr>
              <w:spacing w:after="0"/>
              <w:rPr>
                <w:sz w:val="23"/>
                <w:szCs w:val="23"/>
                <w:color w:val="auto"/>
              </w:rPr>
            </w:pPr>
          </w:p>
        </w:tc>
        <w:tc>
          <w:tcPr>
            <w:tcW w:w="10700" w:type="dxa"/>
            <w:vAlign w:val="bottom"/>
            <w:gridSpan w:val="12"/>
          </w:tcPr>
          <w:p>
            <w:pPr>
              <w:ind w:left="320"/>
              <w:spacing w:after="0"/>
              <w:rPr>
                <w:sz w:val="20"/>
                <w:szCs w:val="20"/>
                <w:color w:val="auto"/>
              </w:rPr>
            </w:pPr>
            <w:r>
              <w:rPr>
                <w:rFonts w:ascii="Times New Roman" w:cs="Times New Roman" w:eastAsia="Times New Roman" w:hAnsi="Times New Roman"/>
                <w:sz w:val="22"/>
                <w:szCs w:val="22"/>
                <w:color w:val="auto"/>
              </w:rPr>
              <w:t>terminations of your employment with the Company.  For purposes of clarity, other than any vesting acceleration</w:t>
            </w:r>
          </w:p>
        </w:tc>
        <w:tc>
          <w:tcPr>
            <w:tcW w:w="0" w:type="dxa"/>
            <w:vAlign w:val="bottom"/>
          </w:tcPr>
          <w:p>
            <w:pPr>
              <w:spacing w:after="0"/>
              <w:rPr>
                <w:sz w:val="1"/>
                <w:szCs w:val="1"/>
                <w:color w:val="auto"/>
              </w:rPr>
            </w:pPr>
          </w:p>
        </w:tc>
      </w:tr>
    </w:tbl>
    <w:p>
      <w:pPr>
        <w:jc w:val="both"/>
        <w:ind w:left="780"/>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1234440" cy="6172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t>benefits set forth in the Company’s 2014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208280</wp:posOffset>
            </wp:positionV>
            <wp:extent cx="714946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563" w:right="339" w:bottom="1440" w:gutter="0" w:footer="0" w:header="0"/>
        </w:sectPr>
      </w:pPr>
    </w:p>
    <w:bookmarkStart w:id="505" w:name="page506"/>
    <w:bookmarkEnd w:id="505"/>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037705" cy="62547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6">
                      <a:extLst>
                        <a:ext uri="{28A0092B-C50C-407E-A947-70E740481C1C}"/>
                      </a:extLst>
                    </a:blip>
                    <a:srcRect/>
                    <a:stretch>
                      <a:fillRect/>
                    </a:stretch>
                  </pic:blipFill>
                  <pic:spPr bwMode="auto">
                    <a:xfrm>
                      <a:off x="0" y="0"/>
                      <a:ext cx="7037705" cy="625475"/>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80" w:lineRule="exact"/>
        <w:rPr>
          <w:sz w:val="20"/>
          <w:szCs w:val="20"/>
          <w:color w:val="auto"/>
        </w:rPr>
      </w:pPr>
    </w:p>
    <w:p>
      <w:pPr>
        <w:jc w:val="both"/>
        <w:ind w:left="780" w:hanging="784"/>
        <w:spacing w:after="0" w:line="238" w:lineRule="auto"/>
        <w:tabs>
          <w:tab w:leader="none" w:pos="76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As an employee of the Company, you will continue to have access to certain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confidential information of the Company and you may, during the course of your employment, develop certain information or inventions that will be the property of the Company. To protect the interests of the Company, you agree to enter into a Proprietary Information and Inventions Assignment Agreement with the Company in substantially the 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780" w:hanging="784"/>
        <w:spacing w:after="0" w:line="253" w:lineRule="exact"/>
        <w:tabs>
          <w:tab w:leader="none" w:pos="760" w:val="left"/>
        </w:tabs>
        <w:rPr>
          <w:sz w:val="20"/>
          <w:szCs w:val="20"/>
          <w:color w:val="auto"/>
        </w:rPr>
      </w:pPr>
      <w:r>
        <w:rPr>
          <w:rFonts w:ascii="Times New Roman" w:cs="Times New Roman" w:eastAsia="Times New Roman" w:hAnsi="Times New Roman"/>
          <w:sz w:val="22"/>
          <w:szCs w:val="22"/>
          <w:color w:val="auto"/>
        </w:rPr>
        <w:t>9.</w:t>
      </w:r>
      <w:r>
        <w:rPr>
          <w:sz w:val="20"/>
          <w:szCs w:val="20"/>
          <w:color w:val="auto"/>
        </w:rPr>
        <w:tab/>
      </w: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This Agreement does not imply any right to your continued employment for any period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the Company or any parent, subsidiary, or affiliate of the Company. Your employment with the Company is and will continue to be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0" w:lineRule="exact"/>
        <w:rPr>
          <w:sz w:val="20"/>
          <w:szCs w:val="20"/>
          <w:color w:val="auto"/>
        </w:rPr>
      </w:pPr>
    </w:p>
    <w:p>
      <w:pPr>
        <w:jc w:val="both"/>
        <w:ind w:left="780" w:hanging="784"/>
        <w:spacing w:after="0" w:line="233" w:lineRule="auto"/>
        <w:tabs>
          <w:tab w:leader="none" w:pos="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u w:val="single" w:color="auto"/>
          <w:color w:val="auto"/>
        </w:rPr>
        <w:t>Protected Activity Not Prohibited</w:t>
      </w:r>
      <w:r>
        <w:rPr>
          <w:rFonts w:ascii="Times New Roman" w:cs="Times New Roman" w:eastAsia="Times New Roman" w:hAnsi="Times New Roman"/>
          <w:sz w:val="22"/>
          <w:szCs w:val="22"/>
          <w:color w:val="auto"/>
        </w:rPr>
        <w:t>. The Company and you acknowledge and agree that nothing in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780" w:hanging="784"/>
        <w:spacing w:after="0" w:line="235" w:lineRule="auto"/>
        <w:tabs>
          <w:tab w:leader="none" w:pos="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Agreement, together with the Confidentiality Agreement, the Severance Agreement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stock options granted to you by the Company under its 2014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Washington but without regard to the conflict of law provision. This Agreement may be modified only by a written agreement signed by a duly authorized officer of the Company (other than yourself) and you.</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208280</wp:posOffset>
            </wp:positionV>
            <wp:extent cx="7149465"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576" w:right="339" w:bottom="1440" w:gutter="0" w:footer="0" w:header="0"/>
        </w:sectPr>
      </w:pPr>
    </w:p>
    <w:bookmarkStart w:id="506" w:name="page507"/>
    <w:bookmarkEnd w:id="506"/>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037705" cy="62547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8">
                      <a:extLst>
                        <a:ext uri="{28A0092B-C50C-407E-A947-70E740481C1C}"/>
                      </a:extLst>
                    </a:blip>
                    <a:srcRect/>
                    <a:stretch>
                      <a:fillRect/>
                    </a:stretch>
                  </pic:blipFill>
                  <pic:spPr bwMode="auto">
                    <a:xfrm>
                      <a:off x="0" y="0"/>
                      <a:ext cx="7037705" cy="625475"/>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confirm the current terms and conditions of your employment, please sign and date in the spaces indicated and return this Agreement to me.</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06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6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Leen Kawas</w:t>
            </w:r>
          </w:p>
        </w:tc>
      </w:tr>
      <w:tr>
        <w:trPr>
          <w:trHeight w:val="236"/>
        </w:trPr>
        <w:tc>
          <w:tcPr>
            <w:tcW w:w="360" w:type="dxa"/>
            <w:vAlign w:val="bottom"/>
          </w:tcPr>
          <w:p>
            <w:pPr>
              <w:spacing w:after="0"/>
              <w:rPr>
                <w:sz w:val="20"/>
                <w:szCs w:val="20"/>
                <w:color w:val="auto"/>
              </w:rPr>
            </w:pPr>
          </w:p>
        </w:tc>
        <w:tc>
          <w:tcPr>
            <w:tcW w:w="660" w:type="dxa"/>
            <w:vAlign w:val="bottom"/>
          </w:tcPr>
          <w:p>
            <w:pPr>
              <w:ind w:left="60"/>
              <w:spacing w:after="0" w:line="236" w:lineRule="exact"/>
              <w:rPr>
                <w:sz w:val="20"/>
                <w:szCs w:val="20"/>
                <w:color w:val="auto"/>
              </w:rPr>
            </w:pPr>
            <w:r>
              <w:rPr>
                <w:rFonts w:ascii="Times New Roman" w:cs="Times New Roman" w:eastAsia="Times New Roman" w:hAnsi="Times New Roman"/>
                <w:sz w:val="22"/>
                <w:szCs w:val="22"/>
                <w:color w:val="auto"/>
              </w:rPr>
              <w:t>Leen</w:t>
            </w:r>
          </w:p>
        </w:tc>
        <w:tc>
          <w:tcPr>
            <w:tcW w:w="13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Kawas, Ph.D.</w:t>
            </w:r>
          </w:p>
        </w:tc>
        <w:tc>
          <w:tcPr>
            <w:tcW w:w="160" w:type="dxa"/>
            <w:vAlign w:val="bottom"/>
          </w:tcPr>
          <w:p>
            <w:pPr>
              <w:spacing w:after="0"/>
              <w:rPr>
                <w:sz w:val="20"/>
                <w:szCs w:val="20"/>
                <w:color w:val="auto"/>
              </w:rPr>
            </w:pPr>
          </w:p>
        </w:tc>
      </w:tr>
      <w:tr>
        <w:trPr>
          <w:trHeight w:val="282"/>
        </w:trPr>
        <w:tc>
          <w:tcPr>
            <w:tcW w:w="360" w:type="dxa"/>
            <w:vAlign w:val="bottom"/>
          </w:tcPr>
          <w:p>
            <w:pPr>
              <w:spacing w:after="0"/>
              <w:rPr>
                <w:sz w:val="24"/>
                <w:szCs w:val="24"/>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Chief Executive Officer</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Glenna Mileson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Glenna Mileson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September 8, 2020</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49465"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07" w:name="page508"/>
    <w:bookmarkEnd w:id="507"/>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037705" cy="62547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0">
                      <a:extLst>
                        <a:ext uri="{28A0092B-C50C-407E-A947-70E740481C1C}"/>
                      </a:extLst>
                    </a:blip>
                    <a:srcRect/>
                    <a:stretch>
                      <a:fillRect/>
                    </a:stretch>
                  </pic:blipFill>
                  <pic:spPr bwMode="auto">
                    <a:xfrm>
                      <a:off x="0" y="0"/>
                      <a:ext cx="7037705" cy="625475"/>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Proprietary Information and Inventions Assignment Agreement</w:t>
      </w: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208280</wp:posOffset>
            </wp:positionV>
            <wp:extent cx="714946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508" w:name="page509"/>
    <w:bookmarkEnd w:id="508"/>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037705" cy="6254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2">
                      <a:extLst>
                        <a:ext uri="{28A0092B-C50C-407E-A947-70E740481C1C}"/>
                      </a:extLst>
                    </a:blip>
                    <a:srcRect/>
                    <a:stretch>
                      <a:fillRect/>
                    </a:stretch>
                  </pic:blipFill>
                  <pic:spPr bwMode="auto">
                    <a:xfrm>
                      <a:off x="0" y="0"/>
                      <a:ext cx="7037705" cy="625475"/>
                    </a:xfrm>
                    <a:prstGeom prst="rect">
                      <a:avLst/>
                    </a:prstGeom>
                    <a:noFill/>
                  </pic:spPr>
                </pic:pic>
              </a:graphicData>
            </a:graphic>
          </wp:anchor>
        </w:drawing>
        <w:t>4000 MASON RD</w:t>
      </w:r>
    </w:p>
    <w:p>
      <w:pPr>
        <w:jc w:val="right"/>
        <w:spacing w:after="0" w:line="226" w:lineRule="auto"/>
        <w:rPr>
          <w:sz w:val="20"/>
          <w:szCs w:val="20"/>
          <w:color w:val="auto"/>
        </w:rPr>
      </w:pPr>
      <w:r>
        <w:rPr>
          <w:rFonts w:ascii="Times New Roman" w:cs="Times New Roman" w:eastAsia="Times New Roman" w:hAnsi="Times New Roman"/>
          <w:sz w:val="14"/>
          <w:szCs w:val="14"/>
          <w:color w:val="auto"/>
        </w:rPr>
        <w:t>SUITE 300, BOX 352141</w:t>
      </w:r>
    </w:p>
    <w:p>
      <w:pPr>
        <w:jc w:val="right"/>
        <w:spacing w:after="0"/>
        <w:rPr>
          <w:sz w:val="20"/>
          <w:szCs w:val="20"/>
          <w:color w:val="auto"/>
        </w:rPr>
      </w:pPr>
      <w:r>
        <w:rPr>
          <w:rFonts w:ascii="Times New Roman" w:cs="Times New Roman" w:eastAsia="Times New Roman" w:hAnsi="Times New Roman"/>
          <w:sz w:val="14"/>
          <w:szCs w:val="14"/>
          <w:color w:val="auto"/>
        </w:rPr>
        <w:t>SEATTLE, WA 98195-2141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 of the Defend Trade Secrets Act of 2016</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575" w:right="339" w:bottom="1440" w:gutter="0" w:footer="0" w:header="0"/>
        </w:sectPr>
      </w:pPr>
    </w:p>
    <w:bookmarkStart w:id="509" w:name="page510"/>
    <w:bookmarkEnd w:id="509"/>
    <w:p>
      <w:pPr>
        <w:ind w:left="1002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10" w:lineRule="exact"/>
        <w:rPr>
          <w:sz w:val="20"/>
          <w:szCs w:val="20"/>
          <w:color w:val="auto"/>
        </w:rPr>
      </w:pPr>
    </w:p>
    <w:p>
      <w:pPr>
        <w:jc w:val="both"/>
        <w:ind w:right="20" w:firstLine="864"/>
        <w:spacing w:after="0" w:line="244" w:lineRule="auto"/>
        <w:rPr>
          <w:sz w:val="20"/>
          <w:szCs w:val="20"/>
          <w:color w:val="auto"/>
        </w:rPr>
      </w:pPr>
      <w:r>
        <w:rPr>
          <w:rFonts w:ascii="Times New Roman" w:cs="Times New Roman" w:eastAsia="Times New Roman" w:hAnsi="Times New Roman"/>
          <w:sz w:val="22"/>
          <w:szCs w:val="22"/>
          <w:color w:val="auto"/>
        </w:rPr>
        <w:t>This Change in Control and Severance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Athira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Leen Kawas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effective as of September 8, 2020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206" w:lineRule="exact"/>
        <w:rPr>
          <w:sz w:val="20"/>
          <w:szCs w:val="20"/>
          <w:color w:val="auto"/>
        </w:rPr>
      </w:pPr>
    </w:p>
    <w:p>
      <w:pPr>
        <w:jc w:val="both"/>
        <w:ind w:firstLine="872"/>
        <w:spacing w:after="0" w:line="244" w:lineRule="auto"/>
        <w:tabs>
          <w:tab w:leader="none" w:pos="2322"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3" w:lineRule="exact"/>
        <w:rPr>
          <w:rFonts w:ascii="Times New Roman" w:cs="Times New Roman" w:eastAsia="Times New Roman" w:hAnsi="Times New Roman"/>
          <w:sz w:val="22"/>
          <w:szCs w:val="22"/>
          <w:color w:val="auto"/>
        </w:rPr>
      </w:pPr>
    </w:p>
    <w:p>
      <w:pPr>
        <w:jc w:val="both"/>
        <w:ind w:firstLine="872"/>
        <w:spacing w:after="0" w:line="238" w:lineRule="auto"/>
        <w:tabs>
          <w:tab w:leader="none" w:pos="2322"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76"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tabs>
          <w:tab w:leader="none" w:pos="39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Qualifying Termination Outside of the Change in Control Period</w:t>
      </w:r>
      <w:r>
        <w:rPr>
          <w:rFonts w:ascii="Times New Roman" w:cs="Times New Roman" w:eastAsia="Times New Roman" w:hAnsi="Times New Roman"/>
          <w:sz w:val="21"/>
          <w:szCs w:val="21"/>
          <w:color w:val="auto"/>
        </w:rPr>
        <w:t>. In the event of a</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Qualifying Termination that occurs other than during the Change in Control Period, Executive will receive the following payments and benefits from the Company, subject to the requirements of this Agreement: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(a)</w:t>
            </w:r>
          </w:p>
        </w:tc>
        <w:tc>
          <w:tcPr>
            <w:tcW w:w="65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Salary Severance. A single, lump sum, cash payment equal to one</w:t>
            </w:r>
          </w:p>
        </w:tc>
      </w:tr>
      <w:tr>
        <w:trPr>
          <w:trHeight w:val="275"/>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hundred percent (100%) of Executive’s Salary.</w:t>
            </w:r>
          </w:p>
        </w:tc>
        <w:tc>
          <w:tcPr>
            <w:tcW w:w="7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406"/>
        </w:trPr>
        <w:tc>
          <w:tcPr>
            <w:tcW w:w="47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(b)</w:t>
            </w:r>
          </w:p>
        </w:tc>
        <w:tc>
          <w:tcPr>
            <w:tcW w:w="70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COBRA  Severance.</w:t>
            </w:r>
          </w:p>
        </w:tc>
        <w:tc>
          <w:tcPr>
            <w:tcW w:w="3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Subject  to  Executive  timely  electing</w:t>
            </w:r>
          </w:p>
        </w:tc>
      </w:tr>
      <w:tr>
        <w:trPr>
          <w:trHeight w:val="20"/>
        </w:trPr>
        <w:tc>
          <w:tcPr>
            <w:tcW w:w="4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jc w:val="both"/>
        <w:spacing w:after="0" w:line="236" w:lineRule="auto"/>
        <w:rPr>
          <w:sz w:val="20"/>
          <w:szCs w:val="20"/>
          <w:color w:val="auto"/>
        </w:rPr>
      </w:pPr>
      <w:r>
        <w:rPr>
          <w:rFonts w:ascii="Times New Roman" w:cs="Times New Roman" w:eastAsia="Times New Roman" w:hAnsi="Times New Roman"/>
          <w:sz w:val="22"/>
          <w:szCs w:val="22"/>
          <w:color w:val="auto"/>
        </w:rPr>
        <w:t>continuation coverage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further subject to Section 5.3, Executive will receive Company-paid group health, dental and vision coverage for Executive and any of Executive’s eligible dependents, as applicable (the “</w:t>
      </w:r>
      <w:r>
        <w:rPr>
          <w:rFonts w:ascii="Times New Roman" w:cs="Times New Roman" w:eastAsia="Times New Roman" w:hAnsi="Times New Roman"/>
          <w:sz w:val="22"/>
          <w:szCs w:val="22"/>
          <w:u w:val="single" w:color="auto"/>
          <w:color w:val="auto"/>
        </w:rPr>
        <w:t>COBRA Severance</w:t>
      </w:r>
      <w:r>
        <w:rPr>
          <w:rFonts w:ascii="Times New Roman" w:cs="Times New Roman" w:eastAsia="Times New Roman" w:hAnsi="Times New Roman"/>
          <w:sz w:val="22"/>
          <w:szCs w:val="22"/>
          <w:color w:val="auto"/>
        </w:rPr>
        <w:t>”), following the Qualifying Termination until the earliest of: (i) twelve (12)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81" w:lineRule="exact"/>
        <w:rPr>
          <w:sz w:val="20"/>
          <w:szCs w:val="20"/>
          <w:color w:val="auto"/>
        </w:rPr>
      </w:pPr>
    </w:p>
    <w:p>
      <w:pPr>
        <w:ind w:left="1740"/>
        <w:spacing w:after="0"/>
        <w:tabs>
          <w:tab w:leader="none" w:pos="39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Qualifying Termination During the Change in Control Period</w:t>
      </w:r>
      <w:r>
        <w:rPr>
          <w:rFonts w:ascii="Times New Roman" w:cs="Times New Roman" w:eastAsia="Times New Roman" w:hAnsi="Times New Roman"/>
          <w:sz w:val="22"/>
          <w:szCs w:val="22"/>
          <w:color w:val="auto"/>
        </w:rPr>
        <w:t>.  In the event of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Qualifying Termination that occurs during the Change in Control Period, Executive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22"/>
          <w:szCs w:val="22"/>
          <w:color w:val="auto"/>
        </w:rPr>
        <w:t>receive the following payments and benefits from the Company, subject to the requirements of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(a)</w:t>
            </w:r>
          </w:p>
        </w:tc>
        <w:tc>
          <w:tcPr>
            <w:tcW w:w="58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Salary Severance. A single, lump sum, cash payment equal to one</w:t>
            </w:r>
          </w:p>
        </w:tc>
      </w:tr>
      <w:tr>
        <w:trPr>
          <w:trHeight w:val="275"/>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hundred fifty percent (150%) of Executive’s Salary.</w:t>
            </w:r>
          </w:p>
        </w:tc>
        <w:tc>
          <w:tcPr>
            <w:tcW w:w="14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407"/>
        </w:trPr>
        <w:tc>
          <w:tcPr>
            <w:tcW w:w="54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(b)</w:t>
            </w:r>
          </w:p>
        </w:tc>
        <w:tc>
          <w:tcPr>
            <w:tcW w:w="58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Bonus Severance. A single, lump sum, cash payment equal to one</w:t>
            </w:r>
          </w:p>
        </w:tc>
      </w:tr>
      <w:tr>
        <w:trPr>
          <w:trHeight w:val="275"/>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hundred fifty percent (150%) of Executive’s Target Bonus.</w:t>
            </w:r>
          </w:p>
        </w:tc>
        <w:tc>
          <w:tcPr>
            <w:tcW w:w="14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407"/>
        </w:trPr>
        <w:tc>
          <w:tcPr>
            <w:tcW w:w="54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(c)</w:t>
            </w:r>
          </w:p>
        </w:tc>
        <w:tc>
          <w:tcPr>
            <w:tcW w:w="20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COBRA  Severance.</w:t>
            </w:r>
          </w:p>
        </w:tc>
        <w:tc>
          <w:tcPr>
            <w:tcW w:w="3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Subject  to  Executive  timely  electing</w:t>
            </w:r>
          </w:p>
        </w:tc>
      </w:tr>
      <w:tr>
        <w:trPr>
          <w:trHeight w:val="20"/>
        </w:trPr>
        <w:tc>
          <w:tcPr>
            <w:tcW w:w="5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continuation coverage under COBRA and further subject to Section 5.3, Executive will receive COBRA Severance until the earliest of: (i) eighteen (18)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80" w:lineRule="exact"/>
        <w:rPr>
          <w:sz w:val="20"/>
          <w:szCs w:val="20"/>
          <w:color w:val="auto"/>
        </w:rPr>
      </w:pPr>
    </w:p>
    <w:p>
      <w:pPr>
        <w:ind w:left="2600"/>
        <w:spacing w:after="0"/>
        <w:tabs>
          <w:tab w:leader="none" w:pos="5420" w:val="left"/>
          <w:tab w:leader="none" w:pos="6280" w:val="left"/>
          <w:tab w:leader="none" w:pos="7600" w:val="left"/>
          <w:tab w:leader="none" w:pos="8000" w:val="left"/>
          <w:tab w:leader="none" w:pos="9440" w:val="left"/>
          <w:tab w:leader="none" w:pos="10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u w:val="single" w:color="auto"/>
          <w:color w:val="auto"/>
        </w:rPr>
        <w:t>Vesting</w:t>
      </w:r>
      <w:r>
        <w:rPr>
          <w:sz w:val="20"/>
          <w:szCs w:val="20"/>
          <w:color w:val="auto"/>
        </w:rPr>
        <w:tab/>
      </w:r>
      <w:r>
        <w:rPr>
          <w:rFonts w:ascii="Times New Roman" w:cs="Times New Roman" w:eastAsia="Times New Roman" w:hAnsi="Times New Roman"/>
          <w:sz w:val="22"/>
          <w:szCs w:val="22"/>
          <w:u w:val="single" w:color="auto"/>
          <w:color w:val="auto"/>
        </w:rPr>
        <w:t>Acceleration</w:t>
        <w:tab/>
        <w:t>of</w:t>
        <w:tab/>
        <w:t>Service-based</w:t>
        <w:tab/>
        <w:t>Awards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Vesting</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acceleration of one hundred percent (100%) of any Service-based Awards that are outstanding and unvested as of the date of the Qualifying Termination.</w:t>
      </w:r>
    </w:p>
    <w:p>
      <w:pPr>
        <w:spacing w:after="0" w:line="178" w:lineRule="exact"/>
        <w:rPr>
          <w:sz w:val="20"/>
          <w:szCs w:val="20"/>
          <w:color w:val="auto"/>
        </w:rPr>
      </w:pPr>
    </w:p>
    <w:p>
      <w:pPr>
        <w:jc w:val="both"/>
        <w:ind w:firstLine="2592"/>
        <w:spacing w:after="0" w:line="247" w:lineRule="auto"/>
        <w:rPr>
          <w:sz w:val="20"/>
          <w:szCs w:val="20"/>
          <w:color w:val="auto"/>
        </w:rPr>
      </w:pPr>
      <w:r>
        <w:rPr>
          <w:rFonts w:ascii="Times New Roman" w:cs="Times New Roman" w:eastAsia="Times New Roman" w:hAnsi="Times New Roman"/>
          <w:sz w:val="21"/>
          <w:szCs w:val="21"/>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2"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Termination Other Than a Qualifying Termination</w:t>
      </w:r>
      <w:r>
        <w:rPr>
          <w:rFonts w:ascii="Times New Roman" w:cs="Times New Roman" w:eastAsia="Times New Roman" w:hAnsi="Times New Roman"/>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Non-duplication of Payment or Benefits</w:t>
      </w:r>
      <w:r>
        <w:rPr>
          <w:rFonts w:ascii="Times New Roman" w:cs="Times New Roman" w:eastAsia="Times New Roman" w:hAnsi="Times New Roman"/>
          <w:sz w:val="22"/>
          <w:szCs w:val="22"/>
          <w:color w:val="auto"/>
        </w:rPr>
        <w:t>. For purposes of clarity, in the event of a Qualifying Termination that occurs during the period within one (1) month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1" w:name="page512"/>
    <w:bookmarkEnd w:id="511"/>
    <w:p>
      <w:pPr>
        <w:jc w:val="both"/>
        <w:spacing w:after="0" w:line="258" w:lineRule="auto"/>
        <w:rPr>
          <w:sz w:val="20"/>
          <w:szCs w:val="20"/>
          <w:color w:val="auto"/>
        </w:rPr>
      </w:pPr>
      <w:r>
        <w:rPr>
          <w:rFonts w:ascii="Times New Roman" w:cs="Times New Roman" w:eastAsia="Times New Roman" w:hAnsi="Times New Roman"/>
          <w:sz w:val="22"/>
          <w:szCs w:val="22"/>
          <w:color w:val="auto"/>
        </w:rPr>
        <w:t>to which the Company is a party other than this Agreement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then the corresponding severance payments and benefits under this Agreement will be reduced by the amount of Other Benefits paid or provided to Executive.</w:t>
      </w:r>
    </w:p>
    <w:p>
      <w:pPr>
        <w:spacing w:after="0" w:line="158" w:lineRule="exact"/>
        <w:rPr>
          <w:sz w:val="20"/>
          <w:szCs w:val="20"/>
          <w:color w:val="auto"/>
        </w:rPr>
      </w:pPr>
    </w:p>
    <w:p>
      <w:pPr>
        <w:jc w:val="both"/>
        <w:ind w:firstLine="1727"/>
        <w:spacing w:after="0"/>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Death of Executive</w:t>
      </w:r>
      <w:r>
        <w:rPr>
          <w:rFonts w:ascii="Times New Roman" w:cs="Times New Roman" w:eastAsia="Times New Roman" w:hAnsi="Times New Roman"/>
          <w:sz w:val="22"/>
          <w:szCs w:val="22"/>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200" w:lineRule="exact"/>
        <w:rPr>
          <w:sz w:val="20"/>
          <w:szCs w:val="20"/>
          <w:color w:val="auto"/>
        </w:rPr>
      </w:pPr>
    </w:p>
    <w:p>
      <w:pPr>
        <w:spacing w:after="0" w:line="229"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Change in Control Vesting Acceleration</w:t>
      </w:r>
      <w:r>
        <w:rPr>
          <w:rFonts w:ascii="Times New Roman" w:cs="Times New Roman" w:eastAsia="Times New Roman" w:hAnsi="Times New Roman"/>
          <w:sz w:val="22"/>
          <w:szCs w:val="22"/>
          <w:color w:val="auto"/>
        </w:rPr>
        <w:t>. Notwithstanding anything to the contrary in this Agreement, in the event of a Change in Control in which the acquiring or succeeding corporation (or an affiliate thereof) does not assume or substitute for any of Executive’s Awards (or portions thereof) granted under the Company’s 2014 Equity Incentive Plan (the “</w:t>
      </w:r>
      <w:r>
        <w:rPr>
          <w:rFonts w:ascii="Times New Roman" w:cs="Times New Roman" w:eastAsia="Times New Roman" w:hAnsi="Times New Roman"/>
          <w:sz w:val="22"/>
          <w:szCs w:val="22"/>
          <w:u w:val="single" w:color="auto"/>
          <w:color w:val="auto"/>
        </w:rPr>
        <w:t>2014 Plan</w:t>
      </w:r>
      <w:r>
        <w:rPr>
          <w:rFonts w:ascii="Times New Roman" w:cs="Times New Roman" w:eastAsia="Times New Roman" w:hAnsi="Times New Roman"/>
          <w:sz w:val="22"/>
          <w:szCs w:val="22"/>
          <w:color w:val="auto"/>
        </w:rPr>
        <w:t>”), (a) Executive will fully vest in and have the right to exercise such outstanding Awards (or portions thereof) not assumed or substituted for, including shares as to which such Award would not otherwise be vested or exercisable, and (b) the Company will notify Executive in writing or electronically that any such Award that is an option (or its applicable portion) will be exercisable for a period of time determined by the administrator of the 2014 Plan in its sole discretion, and the option Award (or its applicable portion) will terminate upon the expiration of such period.</w:t>
      </w:r>
    </w:p>
    <w:p>
      <w:pPr>
        <w:spacing w:after="0" w:line="178" w:lineRule="exact"/>
        <w:rPr>
          <w:sz w:val="20"/>
          <w:szCs w:val="20"/>
          <w:color w:val="auto"/>
        </w:rPr>
      </w:pPr>
    </w:p>
    <w:p>
      <w:pPr>
        <w:jc w:val="both"/>
        <w:ind w:firstLine="872"/>
        <w:spacing w:after="0" w:line="244" w:lineRule="auto"/>
        <w:tabs>
          <w:tab w:leader="none" w:pos="2322"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73"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Separation Agreement and Release of Claims</w:t>
      </w:r>
      <w:r>
        <w:rPr>
          <w:rFonts w:ascii="Times New Roman" w:cs="Times New Roman" w:eastAsia="Times New Roman" w:hAnsi="Times New Roman"/>
          <w:sz w:val="22"/>
          <w:szCs w:val="22"/>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must become effective and irrevocable no later than the sixtieth (60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day following the date of the Qualifying Termination (the “</w:t>
      </w:r>
      <w:r>
        <w:rPr>
          <w:rFonts w:ascii="Times New Roman" w:cs="Times New Roman" w:eastAsia="Times New Roman" w:hAnsi="Times New Roman"/>
          <w:sz w:val="22"/>
          <w:szCs w:val="22"/>
          <w:u w:val="single" w:color="auto"/>
          <w:color w:val="auto"/>
        </w:rPr>
        <w:t>Release Deadline Date</w:t>
      </w:r>
      <w:r>
        <w:rPr>
          <w:rFonts w:ascii="Times New Roman" w:cs="Times New Roman" w:eastAsia="Times New Roman" w:hAnsi="Times New Roman"/>
          <w:sz w:val="22"/>
          <w:szCs w:val="22"/>
          <w:color w:val="auto"/>
        </w:rPr>
        <w:t>”). If the Release does not become effective and irrevocable by the Release Deadline Date, Executive will forfeit any right to severance payments or benefits under Section 3.</w:t>
      </w:r>
    </w:p>
    <w:p>
      <w:pPr>
        <w:spacing w:after="0" w:line="181"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Payment Timing</w:t>
      </w:r>
      <w:r>
        <w:rPr>
          <w:rFonts w:ascii="Times New Roman" w:cs="Times New Roman" w:eastAsia="Times New Roman" w:hAnsi="Times New Roman"/>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 Qualifying Termination will be paid on the later of (x) the first regularly scheduled payroll date of the Company following the date the Release becomes effective and irrevocable, or (y) the date of the Change in Control, in each case subject to any delay required by Section 5.4 below. Any Service-based Awards that are restricted stock units, performance shares, performance units, and/or similar full value awards (“</w:t>
      </w:r>
      <w:r>
        <w:rPr>
          <w:rFonts w:ascii="Times New Roman" w:cs="Times New Roman" w:eastAsia="Times New Roman" w:hAnsi="Times New Roman"/>
          <w:sz w:val="22"/>
          <w:szCs w:val="22"/>
          <w:u w:val="single" w:color="auto"/>
          <w:color w:val="auto"/>
        </w:rPr>
        <w:t>Full Value Awards</w:t>
      </w:r>
      <w:r>
        <w:rPr>
          <w:rFonts w:ascii="Times New Roman" w:cs="Times New Roman" w:eastAsia="Times New Roman" w:hAnsi="Times New Roman"/>
          <w:sz w:val="22"/>
          <w:szCs w:val="22"/>
          <w:color w:val="auto"/>
        </w:rPr>
        <w:t>”) that accelerate vesting under Section 3.2(d)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2" w:name="page513"/>
    <w:bookmarkEnd w:id="512"/>
    <w:p>
      <w:pPr>
        <w:jc w:val="both"/>
        <w:spacing w:after="0" w:line="251" w:lineRule="auto"/>
        <w:rPr>
          <w:sz w:val="20"/>
          <w:szCs w:val="20"/>
          <w:color w:val="auto"/>
        </w:rPr>
      </w:pPr>
      <w:r>
        <w:rPr>
          <w:rFonts w:ascii="Times New Roman" w:cs="Times New Roman" w:eastAsia="Times New Roman" w:hAnsi="Times New Roman"/>
          <w:sz w:val="21"/>
          <w:szCs w:val="21"/>
          <w:color w:val="auto"/>
        </w:rPr>
        <w:t>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68"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COBRA Severance Limitations</w:t>
      </w:r>
      <w:r>
        <w:rPr>
          <w:rFonts w:ascii="Times New Roman" w:cs="Times New Roman" w:eastAsia="Times New Roman" w:hAnsi="Times New Roman"/>
          <w:sz w:val="22"/>
          <w:szCs w:val="22"/>
          <w:color w:val="auto"/>
        </w:rPr>
        <w:t>. If the Company determines in its sole discretion that it cannot provide the COBRA Severance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below in this Section 5.3),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Times New Roman" w:cs="Times New Roman" w:eastAsia="Times New Roman" w:hAnsi="Times New Roman"/>
          <w:sz w:val="22"/>
          <w:szCs w:val="22"/>
          <w:u w:val="single" w:color="auto"/>
          <w:color w:val="auto"/>
        </w:rPr>
        <w:t>COBRA Replacement Payment</w:t>
      </w:r>
      <w:r>
        <w:rPr>
          <w:rFonts w:ascii="Times New Roman" w:cs="Times New Roman" w:eastAsia="Times New Roman" w:hAnsi="Times New Roman"/>
          <w:sz w:val="22"/>
          <w:szCs w:val="22"/>
          <w:color w:val="auto"/>
        </w:rPr>
        <w:t>”),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(i) of Section (b) or Section (c), as applicable. For the avoidance of doubt, the COBRA Replacement Payments may be used for any purpose, including, but not limited to continuation coverage under COBRA, and will be subject to any applicable withholdings. Notwithstanding the foregoing, any COBRA Replacement Payments that otherwise would be payable prior to the date that the Release becomes effective and irrevocable shall be paid in a single lump sum on the first regularly scheduled payroll date of the Company following the date the Release becomes effective and irrevocable, and any remaining COBRA Replacement Payments will be paid in accordance with the schedule described further above in this Section 5.3, in each case subject to any delay required by Section 5.4 below).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84"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u w:val="single" w:color="auto"/>
          <w:color w:val="auto"/>
        </w:rPr>
        <w:t>Deferred Payments</w:t>
      </w:r>
      <w:r>
        <w:rPr>
          <w:rFonts w:ascii="Times New Roman" w:cs="Times New Roman" w:eastAsia="Times New Roman" w:hAnsi="Times New Roman"/>
          <w:sz w:val="22"/>
          <w:szCs w:val="22"/>
          <w:color w:val="auto"/>
        </w:rPr>
        <w:t>”) will be paid or otherwise provided until Executive has a “separation from service” within the meaning of Section 409A. To the extent required to be exempt from or comply with Section 409A, references to the termination of Executive’s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3" w:name="page514"/>
    <w:bookmarkEnd w:id="513"/>
    <w:p>
      <w:pPr>
        <w:ind w:right="20"/>
        <w:spacing w:after="0" w:line="258" w:lineRule="auto"/>
        <w:rPr>
          <w:sz w:val="20"/>
          <w:szCs w:val="20"/>
          <w:color w:val="auto"/>
        </w:rPr>
      </w:pPr>
      <w:r>
        <w:rPr>
          <w:rFonts w:ascii="Times New Roman" w:cs="Times New Roman" w:eastAsia="Times New Roman" w:hAnsi="Times New Roman"/>
          <w:sz w:val="22"/>
          <w:szCs w:val="22"/>
          <w:color w:val="auto"/>
        </w:rPr>
        <w:t>employment or similar phrases used in this Agreement will mean Executive’s “separation from service” within the meaning of Section 409A.</w:t>
      </w:r>
    </w:p>
    <w:p>
      <w:pPr>
        <w:spacing w:after="0" w:line="158" w:lineRule="exact"/>
        <w:rPr>
          <w:sz w:val="20"/>
          <w:szCs w:val="20"/>
          <w:color w:val="auto"/>
        </w:rPr>
      </w:pPr>
    </w:p>
    <w:p>
      <w:pPr>
        <w:jc w:val="both"/>
        <w:ind w:firstLine="2600"/>
        <w:spacing w:after="0" w:line="239" w:lineRule="auto"/>
        <w:tabs>
          <w:tab w:leader="none" w:pos="3480"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80" w:lineRule="exact"/>
        <w:rPr>
          <w:rFonts w:ascii="Times New Roman" w:cs="Times New Roman" w:eastAsia="Times New Roman" w:hAnsi="Times New Roman"/>
          <w:sz w:val="22"/>
          <w:szCs w:val="22"/>
          <w:color w:val="auto"/>
        </w:rPr>
      </w:pPr>
    </w:p>
    <w:p>
      <w:pPr>
        <w:jc w:val="both"/>
        <w:ind w:firstLine="2600"/>
        <w:spacing w:after="0" w:line="233" w:lineRule="auto"/>
        <w:tabs>
          <w:tab w:leader="none" w:pos="3492"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7" w:lineRule="exact"/>
        <w:rPr>
          <w:rFonts w:ascii="Times New Roman" w:cs="Times New Roman" w:eastAsia="Times New Roman" w:hAnsi="Times New Roman"/>
          <w:sz w:val="22"/>
          <w:szCs w:val="22"/>
          <w:color w:val="auto"/>
        </w:rPr>
      </w:pPr>
    </w:p>
    <w:p>
      <w:pPr>
        <w:jc w:val="both"/>
        <w:ind w:firstLine="2600"/>
        <w:spacing w:after="0" w:line="234" w:lineRule="auto"/>
        <w:tabs>
          <w:tab w:leader="none" w:pos="3480"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83"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Reduction of Severance Benefits</w:t>
      </w:r>
      <w:r>
        <w:rPr>
          <w:rFonts w:ascii="Times New Roman" w:cs="Times New Roman" w:eastAsia="Times New Roman" w:hAnsi="Times New Roman"/>
          <w:sz w:val="22"/>
          <w:szCs w:val="22"/>
          <w:color w:val="auto"/>
        </w:rPr>
        <w:t>. If any payment or benefit that Executive would receive from the Company or any other party whether in connection with the provisions in this Agreement or otherwise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4" w:name="page515"/>
    <w:bookmarkEnd w:id="514"/>
    <w:p>
      <w:pPr>
        <w:jc w:val="both"/>
        <w:spacing w:after="0" w:line="235" w:lineRule="auto"/>
        <w:rPr>
          <w:sz w:val="20"/>
          <w:szCs w:val="20"/>
          <w:color w:val="auto"/>
        </w:rPr>
      </w:pPr>
      <w:r>
        <w:rPr>
          <w:rFonts w:ascii="Times New Roman" w:cs="Times New Roman" w:eastAsia="Times New Roman" w:hAnsi="Times New Roman"/>
          <w:sz w:val="22"/>
          <w:szCs w:val="22"/>
          <w:color w:val="auto"/>
        </w:rPr>
        <w:t>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w:t>
      </w:r>
    </w:p>
    <w:p>
      <w:pPr>
        <w:jc w:val="both"/>
        <w:ind w:firstLine="8"/>
        <w:spacing w:after="0" w:line="232" w:lineRule="auto"/>
        <w:tabs>
          <w:tab w:leader="none" w:pos="34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77"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Determination of Excise Tax Liability</w:t>
      </w:r>
      <w:r>
        <w:rPr>
          <w:rFonts w:ascii="Times New Roman" w:cs="Times New Roman" w:eastAsia="Times New Roman" w:hAnsi="Times New Roman"/>
          <w:sz w:val="22"/>
          <w:szCs w:val="22"/>
          <w:color w:val="auto"/>
        </w:rPr>
        <w:t>. Unless the Company and Executive otherwise agree in writing, any determinations required under this Section 6 will be made in writing by a nationally recognized accounting or valuation firm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79" w:lineRule="exact"/>
        <w:rPr>
          <w:sz w:val="20"/>
          <w:szCs w:val="20"/>
          <w:color w:val="auto"/>
        </w:rPr>
      </w:pPr>
    </w:p>
    <w:p>
      <w:pPr>
        <w:ind w:left="2320" w:hanging="1448"/>
        <w:spacing w:after="0"/>
        <w:tabs>
          <w:tab w:leader="none" w:pos="232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7.1.</w:t>
            </w:r>
          </w:p>
        </w:tc>
        <w:tc>
          <w:tcPr>
            <w:tcW w:w="766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w w:val="97"/>
              </w:rPr>
              <w:t>“Award” means stock options and other equity awards covering shares of Company</w:t>
            </w:r>
          </w:p>
        </w:tc>
      </w:tr>
      <w:tr>
        <w:trPr>
          <w:trHeight w:val="275"/>
        </w:trPr>
        <w:tc>
          <w:tcPr>
            <w:tcW w:w="35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7"/>
              </w:rPr>
              <w:t>common stock granted to Executive.</w:t>
            </w:r>
          </w:p>
        </w:tc>
        <w:tc>
          <w:tcPr>
            <w:tcW w:w="5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580" w:type="dxa"/>
            <w:vAlign w:val="bottom"/>
          </w:tcPr>
          <w:p>
            <w:pPr>
              <w:spacing w:after="0"/>
              <w:rPr>
                <w:sz w:val="23"/>
                <w:szCs w:val="23"/>
                <w:color w:val="auto"/>
              </w:rPr>
            </w:pPr>
          </w:p>
        </w:tc>
      </w:tr>
      <w:tr>
        <w:trPr>
          <w:trHeight w:val="407"/>
        </w:trPr>
        <w:tc>
          <w:tcPr>
            <w:tcW w:w="358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7.2.</w:t>
            </w:r>
          </w:p>
        </w:tc>
        <w:tc>
          <w:tcPr>
            <w:tcW w:w="766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rPr>
              <w:t>“Board” means the Company’s Board of Directors.</w:t>
            </w:r>
          </w:p>
        </w:tc>
      </w:tr>
      <w:tr>
        <w:trPr>
          <w:trHeight w:val="20"/>
        </w:trPr>
        <w:tc>
          <w:tcPr>
            <w:tcW w:w="3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r>
      <w:tr>
        <w:trPr>
          <w:trHeight w:val="439"/>
        </w:trPr>
        <w:tc>
          <w:tcPr>
            <w:tcW w:w="358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7.3.</w:t>
            </w:r>
          </w:p>
        </w:tc>
        <w:tc>
          <w:tcPr>
            <w:tcW w:w="766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rPr>
              <w:t>“Cause” means Executive’s:  (a) indictment or conviction of any felony or any</w:t>
            </w:r>
          </w:p>
        </w:tc>
      </w:tr>
      <w:tr>
        <w:trPr>
          <w:trHeight w:val="20"/>
        </w:trPr>
        <w:tc>
          <w:tcPr>
            <w:tcW w:w="3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crime involving dishonesty or moral turpitude; (b) 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5" w:name="page516"/>
    <w:bookmarkEnd w:id="515"/>
    <w:p>
      <w:pPr>
        <w:jc w:val="both"/>
        <w:spacing w:after="0" w:line="239" w:lineRule="auto"/>
        <w:rPr>
          <w:sz w:val="20"/>
          <w:szCs w:val="20"/>
          <w:color w:val="auto"/>
        </w:rPr>
      </w:pPr>
      <w:r>
        <w:rPr>
          <w:rFonts w:ascii="Times New Roman" w:cs="Times New Roman" w:eastAsia="Times New Roman" w:hAnsi="Times New Roman"/>
          <w:sz w:val="22"/>
          <w:szCs w:val="22"/>
          <w:color w:val="auto"/>
        </w:rPr>
        <w:t>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7.4.</w:t>
            </w:r>
          </w:p>
        </w:tc>
        <w:tc>
          <w:tcPr>
            <w:tcW w:w="806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“Change in Control” means the first occurrence of any of the following events on</w:t>
            </w:r>
          </w:p>
        </w:tc>
      </w:tr>
      <w:tr>
        <w:trPr>
          <w:trHeight w:val="276"/>
        </w:trPr>
        <w:tc>
          <w:tcPr>
            <w:tcW w:w="31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w w:val="97"/>
              </w:rPr>
              <w:t>or after the Effective Date:</w:t>
            </w:r>
          </w:p>
        </w:tc>
        <w:tc>
          <w:tcPr>
            <w:tcW w:w="94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5500" w:type="dxa"/>
            <w:vAlign w:val="bottom"/>
          </w:tcPr>
          <w:p>
            <w:pPr>
              <w:spacing w:after="0"/>
              <w:rPr>
                <w:sz w:val="23"/>
                <w:szCs w:val="23"/>
                <w:color w:val="auto"/>
              </w:rPr>
            </w:pPr>
          </w:p>
        </w:tc>
      </w:tr>
    </w:tbl>
    <w:p>
      <w:pPr>
        <w:spacing w:after="0" w:line="177" w:lineRule="exact"/>
        <w:rPr>
          <w:sz w:val="20"/>
          <w:szCs w:val="20"/>
          <w:color w:val="auto"/>
        </w:rPr>
      </w:pPr>
    </w:p>
    <w:p>
      <w:pPr>
        <w:jc w:val="both"/>
        <w:ind w:firstLine="2600"/>
        <w:spacing w:after="0" w:line="233" w:lineRule="auto"/>
        <w:tabs>
          <w:tab w:leader="none" w:pos="3480"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rFonts w:ascii="Times New Roman" w:cs="Times New Roman" w:eastAsia="Times New Roman" w:hAnsi="Times New Roman"/>
          <w:sz w:val="22"/>
          <w:szCs w:val="22"/>
          <w:color w:val="auto"/>
        </w:rPr>
      </w:pPr>
    </w:p>
    <w:p>
      <w:pPr>
        <w:jc w:val="both"/>
        <w:ind w:firstLine="2600"/>
        <w:spacing w:after="0" w:line="235" w:lineRule="auto"/>
        <w:tabs>
          <w:tab w:leader="none" w:pos="3492"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22"/>
          <w:szCs w:val="22"/>
          <w:color w:val="auto"/>
        </w:rPr>
      </w:pPr>
    </w:p>
    <w:p>
      <w:pPr>
        <w:jc w:val="both"/>
        <w:ind w:firstLine="2600"/>
        <w:spacing w:after="0" w:line="245" w:lineRule="auto"/>
        <w:tabs>
          <w:tab w:leader="none" w:pos="3480" w:val="left"/>
        </w:tabs>
        <w:numPr>
          <w:ilvl w:val="1"/>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a Substantial Portion of the Company’s Assets</w:t>
      </w:r>
      <w:r>
        <w:rPr>
          <w:rFonts w:ascii="Times New Roman" w:cs="Times New Roman" w:eastAsia="Times New Roman" w:hAnsi="Times New Roman"/>
          <w:sz w:val="21"/>
          <w:szCs w:val="21"/>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spacing w:after="0" w:line="2"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6" w:name="page517"/>
    <w:bookmarkEnd w:id="516"/>
    <w:p>
      <w:pPr>
        <w:jc w:val="both"/>
        <w:spacing w:after="0" w:line="235" w:lineRule="auto"/>
        <w:rPr>
          <w:sz w:val="20"/>
          <w:szCs w:val="20"/>
          <w:color w:val="auto"/>
        </w:rPr>
      </w:pPr>
      <w:r>
        <w:rPr>
          <w:rFonts w:ascii="Times New Roman" w:cs="Times New Roman" w:eastAsia="Times New Roman" w:hAnsi="Times New Roman"/>
          <w:sz w:val="22"/>
          <w:szCs w:val="22"/>
          <w:color w:val="auto"/>
        </w:rPr>
        <w:t>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78" w:lineRule="exact"/>
        <w:rPr>
          <w:sz w:val="20"/>
          <w:szCs w:val="20"/>
          <w:color w:val="auto"/>
        </w:rPr>
      </w:pPr>
    </w:p>
    <w:p>
      <w:pPr>
        <w:jc w:val="both"/>
        <w:ind w:firstLine="2592"/>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2592"/>
        <w:spacing w:after="0" w:line="23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7"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7.5.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period beginning on the date one (1) month prior to a Change in Control and ending on (and inclusive of) the date that is the one (1) year anniversary of a Change in Control.</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7.6.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7.7.</w:t>
            </w:r>
          </w:p>
        </w:tc>
        <w:tc>
          <w:tcPr>
            <w:tcW w:w="8160" w:type="dxa"/>
            <w:vAlign w:val="bottom"/>
            <w:gridSpan w:val="7"/>
          </w:tcPr>
          <w:p>
            <w:pPr>
              <w:ind w:left="920"/>
              <w:spacing w:after="0"/>
              <w:rPr>
                <w:sz w:val="20"/>
                <w:szCs w:val="20"/>
                <w:color w:val="auto"/>
              </w:rPr>
            </w:pPr>
            <w:r>
              <w:rPr>
                <w:rFonts w:ascii="Times New Roman" w:cs="Times New Roman" w:eastAsia="Times New Roman" w:hAnsi="Times New Roman"/>
                <w:sz w:val="22"/>
                <w:szCs w:val="22"/>
                <w:color w:val="auto"/>
                <w:w w:val="98"/>
              </w:rPr>
              <w:t>“Confidentiality Agreement” means Executive’s At-will Employment, Confidential</w:t>
            </w:r>
          </w:p>
        </w:tc>
      </w:tr>
      <w:tr>
        <w:trPr>
          <w:trHeight w:val="20"/>
        </w:trPr>
        <w:tc>
          <w:tcPr>
            <w:tcW w:w="4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76"/>
        </w:trPr>
        <w:tc>
          <w:tcPr>
            <w:tcW w:w="112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Information, Invention Assignment, and Arbitration Agreement entered into with the Company dated September 8, 2020.</w:t>
            </w:r>
          </w:p>
        </w:tc>
      </w:tr>
      <w:tr>
        <w:trPr>
          <w:trHeight w:val="406"/>
        </w:trPr>
        <w:tc>
          <w:tcPr>
            <w:tcW w:w="308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7.8.</w:t>
            </w:r>
          </w:p>
        </w:tc>
        <w:tc>
          <w:tcPr>
            <w:tcW w:w="8160" w:type="dxa"/>
            <w:vAlign w:val="bottom"/>
            <w:gridSpan w:val="7"/>
          </w:tcPr>
          <w:p>
            <w:pPr>
              <w:ind w:left="920"/>
              <w:spacing w:after="0"/>
              <w:rPr>
                <w:sz w:val="20"/>
                <w:szCs w:val="20"/>
                <w:color w:val="auto"/>
              </w:rPr>
            </w:pPr>
            <w:r>
              <w:rPr>
                <w:rFonts w:ascii="Times New Roman" w:cs="Times New Roman" w:eastAsia="Times New Roman" w:hAnsi="Times New Roman"/>
                <w:sz w:val="22"/>
                <w:szCs w:val="22"/>
                <w:color w:val="auto"/>
              </w:rPr>
              <w:t>“Director” means a member of the Board.</w:t>
            </w:r>
          </w:p>
        </w:tc>
      </w:tr>
      <w:tr>
        <w:trPr>
          <w:trHeight w:val="20"/>
        </w:trPr>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r>
      <w:tr>
        <w:trPr>
          <w:trHeight w:val="439"/>
        </w:trPr>
        <w:tc>
          <w:tcPr>
            <w:tcW w:w="308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7.9.</w:t>
            </w:r>
          </w:p>
        </w:tc>
        <w:tc>
          <w:tcPr>
            <w:tcW w:w="8160" w:type="dxa"/>
            <w:vAlign w:val="bottom"/>
            <w:gridSpan w:val="7"/>
          </w:tcPr>
          <w:p>
            <w:pPr>
              <w:ind w:left="920"/>
              <w:spacing w:after="0"/>
              <w:rPr>
                <w:sz w:val="20"/>
                <w:szCs w:val="20"/>
                <w:color w:val="auto"/>
              </w:rPr>
            </w:pPr>
            <w:r>
              <w:rPr>
                <w:rFonts w:ascii="Times New Roman" w:cs="Times New Roman" w:eastAsia="Times New Roman" w:hAnsi="Times New Roman"/>
                <w:sz w:val="22"/>
                <w:szCs w:val="22"/>
                <w:color w:val="auto"/>
                <w:w w:val="99"/>
              </w:rPr>
              <w:t>“Disability” means total and permanent disability as defined in Code Section 22(e)</w:t>
            </w:r>
          </w:p>
        </w:tc>
      </w:tr>
      <w:tr>
        <w:trPr>
          <w:trHeight w:val="275"/>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10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20" w:type="dxa"/>
            <w:vAlign w:val="bottom"/>
          </w:tcPr>
          <w:p>
            <w:pPr>
              <w:spacing w:after="0"/>
              <w:rPr>
                <w:sz w:val="23"/>
                <w:szCs w:val="23"/>
                <w:color w:val="auto"/>
              </w:rPr>
            </w:pPr>
          </w:p>
        </w:tc>
      </w:tr>
      <w:tr>
        <w:trPr>
          <w:trHeight w:val="407"/>
        </w:trPr>
        <w:tc>
          <w:tcPr>
            <w:tcW w:w="308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7.10.</w:t>
            </w:r>
          </w:p>
        </w:tc>
        <w:tc>
          <w:tcPr>
            <w:tcW w:w="1020" w:type="dxa"/>
            <w:vAlign w:val="bottom"/>
          </w:tcPr>
          <w:p>
            <w:pPr>
              <w:spacing w:after="0"/>
              <w:rPr>
                <w:sz w:val="24"/>
                <w:szCs w:val="24"/>
                <w:color w:val="auto"/>
              </w:rPr>
            </w:pPr>
          </w:p>
        </w:tc>
        <w:tc>
          <w:tcPr>
            <w:tcW w:w="714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w w:val="99"/>
              </w:rPr>
              <w:t>“Good Reason” means Executive’s termination of Executive’s employment with</w:t>
            </w:r>
          </w:p>
        </w:tc>
      </w:tr>
      <w:tr>
        <w:trPr>
          <w:trHeight w:val="20"/>
        </w:trPr>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 (b) the requirement that Executive change Executive’s principal office to a facility that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7" w:name="page518"/>
    <w:bookmarkEnd w:id="517"/>
    <w:p>
      <w:pPr>
        <w:jc w:val="both"/>
        <w:spacing w:after="0" w:line="246" w:lineRule="auto"/>
        <w:rPr>
          <w:sz w:val="20"/>
          <w:szCs w:val="20"/>
          <w:color w:val="auto"/>
        </w:rPr>
      </w:pPr>
      <w:r>
        <w:rPr>
          <w:rFonts w:ascii="Times New Roman" w:cs="Times New Roman" w:eastAsia="Times New Roman" w:hAnsi="Times New Roman"/>
          <w:sz w:val="21"/>
          <w:szCs w:val="21"/>
          <w:color w:val="auto"/>
        </w:rPr>
        <w:t>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 to which Executive is entitled immediately prior to such reduction (other than (x) in connection with a general decrease in the annual base salary or Employee Benefits of all similarly situated employees, and</w:t>
      </w:r>
    </w:p>
    <w:p>
      <w:pPr>
        <w:spacing w:after="0" w:line="1" w:lineRule="exact"/>
        <w:rPr>
          <w:sz w:val="20"/>
          <w:szCs w:val="20"/>
          <w:color w:val="auto"/>
        </w:rPr>
      </w:pPr>
    </w:p>
    <w:p>
      <w:pPr>
        <w:jc w:val="both"/>
        <w:ind w:firstLine="8"/>
        <w:spacing w:after="0" w:line="245" w:lineRule="exact"/>
        <w:tabs>
          <w:tab w:leader="none" w:pos="343"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Change in Control, to the extent necessary to make Executive’s annual base salary or Employee Benefits commensurate with those of other employees of the Company or its successor entity or parent entity who are similarly situated with Executive following such Change in Control); provided, however, that Executive must provide written notice to the Board of the condition that could constitute a “Good Reason” event within ninety (90) days following the initial existence of such condition and such condition must not have been remedied by the Company within thirty (30) days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of such written notice. To the extent Executive’s primary work location is not the Company’s corporate offices due to a shelter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place order, quarantine order, or similar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from</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7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7.11.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Executive’s employment with the Company either (a) by the Company without Cause and other than due to Executive’s death or Disability, or (b) by Executive for Good Reason.</w:t>
      </w:r>
    </w:p>
    <w:p>
      <w:pPr>
        <w:spacing w:after="0" w:line="200" w:lineRule="exact"/>
        <w:rPr>
          <w:sz w:val="20"/>
          <w:szCs w:val="20"/>
          <w:color w:val="auto"/>
        </w:rPr>
      </w:pPr>
    </w:p>
    <w:p>
      <w:pPr>
        <w:spacing w:after="0" w:line="22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7.12.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7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7.13.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Treasury Regulations and guidance thereunder, and any applicable state law equivalent, as each may be promulgated, amended or modified from time to time.</w:t>
      </w:r>
    </w:p>
    <w:p>
      <w:pPr>
        <w:spacing w:after="0" w:line="200" w:lineRule="exact"/>
        <w:rPr>
          <w:sz w:val="20"/>
          <w:szCs w:val="20"/>
          <w:color w:val="auto"/>
        </w:rPr>
      </w:pPr>
    </w:p>
    <w:p>
      <w:pPr>
        <w:spacing w:after="0" w:line="22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7.14. “</w:t>
      </w:r>
      <w:r>
        <w:rPr>
          <w:rFonts w:ascii="Times New Roman" w:cs="Times New Roman" w:eastAsia="Times New Roman" w:hAnsi="Times New Roman"/>
          <w:sz w:val="22"/>
          <w:szCs w:val="22"/>
          <w:u w:val="single" w:color="auto"/>
          <w:color w:val="auto"/>
        </w:rPr>
        <w:t>Service-based Awards</w:t>
      </w:r>
      <w:r>
        <w:rPr>
          <w:rFonts w:ascii="Times New Roman" w:cs="Times New Roman" w:eastAsia="Times New Roman" w:hAnsi="Times New Roman"/>
          <w:sz w:val="22"/>
          <w:szCs w:val="22"/>
          <w:color w:val="auto"/>
        </w:rPr>
        <w:t xml:space="preserve"> ”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7.15.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8" w:name="page519"/>
    <w:bookmarkEnd w:id="518"/>
    <w:p>
      <w:pPr>
        <w:jc w:val="both"/>
        <w:ind w:firstLine="872"/>
        <w:spacing w:after="0" w:line="235" w:lineRule="auto"/>
        <w:tabs>
          <w:tab w:leader="none" w:pos="2322"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8"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4000 Mason Road, Suite 300</w:t>
      </w:r>
    </w:p>
    <w:p>
      <w:pPr>
        <w:ind w:left="2600"/>
        <w:spacing w:after="0" w:line="230" w:lineRule="auto"/>
        <w:rPr>
          <w:sz w:val="20"/>
          <w:szCs w:val="20"/>
          <w:color w:val="auto"/>
        </w:rPr>
      </w:pPr>
      <w:r>
        <w:rPr>
          <w:rFonts w:ascii="Times New Roman" w:cs="Times New Roman" w:eastAsia="Times New Roman" w:hAnsi="Times New Roman"/>
          <w:sz w:val="22"/>
          <w:szCs w:val="22"/>
          <w:color w:val="auto"/>
        </w:rPr>
        <w:t>Seattle, WA 98195</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182"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w:t>
      </w:r>
    </w:p>
    <w:p>
      <w:pPr>
        <w:spacing w:after="0" w:line="2" w:lineRule="exact"/>
        <w:rPr>
          <w:sz w:val="20"/>
          <w:szCs w:val="20"/>
          <w:color w:val="auto"/>
        </w:rPr>
      </w:pPr>
    </w:p>
    <w:p>
      <w:pPr>
        <w:ind w:left="320" w:hanging="312"/>
        <w:spacing w:after="0"/>
        <w:tabs>
          <w:tab w:leader="none" w:pos="32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end of any applicable cure period).</w:t>
      </w:r>
    </w:p>
    <w:p>
      <w:pPr>
        <w:spacing w:after="0" w:line="182" w:lineRule="exact"/>
        <w:rPr>
          <w:rFonts w:ascii="Times New Roman" w:cs="Times New Roman" w:eastAsia="Times New Roman" w:hAnsi="Times New Roman"/>
          <w:sz w:val="22"/>
          <w:szCs w:val="22"/>
          <w:color w:val="auto"/>
        </w:rPr>
      </w:pPr>
    </w:p>
    <w:p>
      <w:pPr>
        <w:jc w:val="both"/>
        <w:ind w:firstLine="872"/>
        <w:spacing w:after="0" w:line="239" w:lineRule="auto"/>
        <w:tabs>
          <w:tab w:leader="none" w:pos="2430"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0" w:lineRule="exact"/>
        <w:rPr>
          <w:rFonts w:ascii="Times New Roman" w:cs="Times New Roman" w:eastAsia="Times New Roman" w:hAnsi="Times New Roman"/>
          <w:sz w:val="22"/>
          <w:szCs w:val="22"/>
          <w:color w:val="auto"/>
        </w:rPr>
      </w:pPr>
    </w:p>
    <w:p>
      <w:pPr>
        <w:ind w:left="2420" w:hanging="1548"/>
        <w:spacing w:after="0"/>
        <w:tabs>
          <w:tab w:leader="none" w:pos="2420"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9" w:name="page520"/>
    <w:bookmarkEnd w:id="519"/>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5.4 and 6.</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rPr>
              <w:t>11.3.</w:t>
            </w:r>
          </w:p>
        </w:tc>
        <w:tc>
          <w:tcPr>
            <w:tcW w:w="71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Headings. Headings are provided herein for convenience only, and will not serve</w:t>
            </w:r>
          </w:p>
        </w:tc>
      </w:tr>
      <w:tr>
        <w:trPr>
          <w:trHeight w:val="20"/>
        </w:trPr>
        <w:tc>
          <w:tcPr>
            <w:tcW w:w="4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76"/>
        </w:trPr>
        <w:tc>
          <w:tcPr>
            <w:tcW w:w="1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as a basis for interpretation or construction of this Agreement.</w:t>
            </w:r>
          </w:p>
        </w:tc>
      </w:tr>
      <w:tr>
        <w:trPr>
          <w:trHeight w:val="406"/>
        </w:trPr>
        <w:tc>
          <w:tcPr>
            <w:tcW w:w="410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rPr>
              <w:t>11.4.</w:t>
            </w:r>
          </w:p>
        </w:tc>
        <w:tc>
          <w:tcPr>
            <w:tcW w:w="71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Entire Agreement. This Agreement, together with the Confidentiality Agreement,</w:t>
            </w:r>
          </w:p>
        </w:tc>
      </w:tr>
      <w:tr>
        <w:trPr>
          <w:trHeight w:val="20"/>
        </w:trPr>
        <w:tc>
          <w:tcPr>
            <w:tcW w:w="4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Executive’s confirmatory employment letter with the Company dated September 8, 2020, and the Company’s 2014 Equity Incentive Plan and award agreements thereunder governing Executive’s outstanding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80" w:lineRule="exact"/>
        <w:rPr>
          <w:sz w:val="20"/>
          <w:szCs w:val="20"/>
          <w:color w:val="auto"/>
        </w:rPr>
      </w:pPr>
    </w:p>
    <w:p>
      <w:pPr>
        <w:jc w:val="both"/>
        <w:ind w:firstLine="1727"/>
        <w:spacing w:after="0" w:line="248" w:lineRule="exact"/>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taxes or other required withholdings and payroll deductions (“</w:t>
      </w:r>
      <w:r>
        <w:rPr>
          <w:rFonts w:ascii="Times New Roman" w:cs="Times New Roman" w:eastAsia="Times New Roman" w:hAnsi="Times New Roman"/>
          <w:sz w:val="22"/>
          <w:szCs w:val="22"/>
          <w:u w:val="single" w:color="auto"/>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7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0" w:name="page521"/>
    <w:bookmarkEnd w:id="520"/>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49465"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21" w:name="page522"/>
    <w:bookmarkEnd w:id="521"/>
    <w:p>
      <w:pPr>
        <w:ind w:firstLine="864"/>
        <w:spacing w:after="0" w:line="258" w:lineRule="auto"/>
        <w:rPr>
          <w:sz w:val="20"/>
          <w:szCs w:val="20"/>
          <w:color w:val="auto"/>
        </w:rPr>
      </w:pPr>
      <w:r>
        <w:rPr>
          <w:rFonts w:ascii="Times New Roman" w:cs="Times New Roman" w:eastAsia="Times New Roman" w:hAnsi="Times New Roman"/>
          <w:sz w:val="22"/>
          <w:szCs w:val="22"/>
          <w:color w:val="auto"/>
        </w:rPr>
        <w:t>By her, his, or its signature below, each of the parties signifies its acceptance of the terms of this Agreement, in the case of the Company by its duly authorized officer.</w:t>
      </w:r>
    </w:p>
    <w:p>
      <w:pPr>
        <w:spacing w:after="0" w:line="397"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2"/>
          <w:szCs w:val="22"/>
          <w:b w:val="1"/>
          <w:bCs w:val="1"/>
          <w:color w:val="auto"/>
        </w:rPr>
        <w:t>ATHIRA PHARMA, INC.</w:t>
      </w:r>
    </w:p>
    <w:p>
      <w:pPr>
        <w:spacing w:after="0" w:line="200" w:lineRule="exact"/>
        <w:rPr>
          <w:sz w:val="20"/>
          <w:szCs w:val="20"/>
          <w:color w:val="auto"/>
        </w:rPr>
      </w:pPr>
    </w:p>
    <w:p>
      <w:pPr>
        <w:spacing w:after="0" w:line="226" w:lineRule="exact"/>
        <w:rPr>
          <w:sz w:val="20"/>
          <w:szCs w:val="20"/>
          <w:color w:val="auto"/>
        </w:rPr>
      </w:pPr>
    </w:p>
    <w:p>
      <w:pPr>
        <w:ind w:left="6060"/>
        <w:spacing w:after="0"/>
        <w:tabs>
          <w:tab w:leader="none" w:pos="7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Mark Litton</w:t>
      </w:r>
    </w:p>
    <w:p>
      <w:pPr>
        <w:spacing w:after="0" w:line="3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COO</w:t>
      </w:r>
    </w:p>
    <w:p>
      <w:pPr>
        <w:spacing w:after="0" w:line="3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September 8, 2020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2"/>
          <w:szCs w:val="22"/>
          <w:u w:val="single" w:color="auto"/>
          <w:color w:val="auto"/>
        </w:rPr>
        <w:t>/s/ Leen Kawas</w:t>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September 8, 2020</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544" w:right="359" w:bottom="1440" w:gutter="0" w:footer="0" w:header="0"/>
        </w:sectPr>
      </w:pPr>
    </w:p>
    <w:bookmarkStart w:id="522" w:name="page523"/>
    <w:bookmarkEnd w:id="522"/>
    <w:p>
      <w:pPr>
        <w:ind w:left="10020"/>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10" w:lineRule="exact"/>
        <w:rPr>
          <w:sz w:val="20"/>
          <w:szCs w:val="20"/>
          <w:color w:val="auto"/>
        </w:rPr>
      </w:pPr>
    </w:p>
    <w:p>
      <w:pPr>
        <w:jc w:val="both"/>
        <w:ind w:right="40" w:firstLine="864"/>
        <w:spacing w:after="0" w:line="282" w:lineRule="auto"/>
        <w:rPr>
          <w:sz w:val="20"/>
          <w:szCs w:val="20"/>
          <w:color w:val="auto"/>
        </w:rPr>
      </w:pPr>
      <w:r>
        <w:rPr>
          <w:rFonts w:ascii="Times New Roman" w:cs="Times New Roman" w:eastAsia="Times New Roman" w:hAnsi="Times New Roman"/>
          <w:sz w:val="21"/>
          <w:szCs w:val="21"/>
          <w:color w:val="auto"/>
        </w:rPr>
        <w:t>This Change in Control and Severance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 Athira Pharma,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Mark Litton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effective as of September 8, 2020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w:t>
      </w:r>
    </w:p>
    <w:p>
      <w:pPr>
        <w:spacing w:after="0" w:line="94" w:lineRule="exact"/>
        <w:rPr>
          <w:sz w:val="20"/>
          <w:szCs w:val="20"/>
          <w:color w:val="auto"/>
        </w:rPr>
      </w:pPr>
    </w:p>
    <w:p>
      <w:pPr>
        <w:jc w:val="both"/>
        <w:ind w:right="20" w:firstLine="864"/>
        <w:spacing w:after="0" w:line="244" w:lineRule="auto"/>
        <w:rPr>
          <w:sz w:val="20"/>
          <w:szCs w:val="20"/>
          <w:color w:val="auto"/>
        </w:rPr>
      </w:pPr>
      <w:r>
        <w:rPr>
          <w:rFonts w:ascii="Times New Roman" w:cs="Times New Roman" w:eastAsia="Times New Roman" w:hAnsi="Times New Roman"/>
          <w:sz w:val="22"/>
          <w:szCs w:val="22"/>
          <w:color w:val="auto"/>
        </w:rPr>
        <w:t>This Agreement provides certain protections to Executive in connection with a change in control of the Company or in connection with the involuntary termination of Executive’s employment under the circumstances described in this Agreement. Certain capitalized terms used in this Agreement are defined in Section 7 below.</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206" w:lineRule="exact"/>
        <w:rPr>
          <w:sz w:val="20"/>
          <w:szCs w:val="20"/>
          <w:color w:val="auto"/>
        </w:rPr>
      </w:pPr>
    </w:p>
    <w:p>
      <w:pPr>
        <w:jc w:val="both"/>
        <w:ind w:right="20" w:firstLine="872"/>
        <w:spacing w:after="0" w:line="244" w:lineRule="auto"/>
        <w:tabs>
          <w:tab w:leader="none" w:pos="2322"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3" w:lineRule="exact"/>
        <w:rPr>
          <w:rFonts w:ascii="Times New Roman" w:cs="Times New Roman" w:eastAsia="Times New Roman" w:hAnsi="Times New Roman"/>
          <w:sz w:val="22"/>
          <w:szCs w:val="22"/>
          <w:color w:val="auto"/>
        </w:rPr>
      </w:pPr>
    </w:p>
    <w:p>
      <w:pPr>
        <w:jc w:val="both"/>
        <w:ind w:right="20" w:firstLine="872"/>
        <w:spacing w:after="0" w:line="238" w:lineRule="auto"/>
        <w:tabs>
          <w:tab w:leader="none" w:pos="2322"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76"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tabs>
          <w:tab w:leader="none" w:pos="39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Qualifying Termination Outside of the Change in Control Period</w:t>
      </w:r>
      <w:r>
        <w:rPr>
          <w:rFonts w:ascii="Times New Roman" w:cs="Times New Roman" w:eastAsia="Times New Roman" w:hAnsi="Times New Roman"/>
          <w:sz w:val="21"/>
          <w:szCs w:val="21"/>
          <w:color w:val="auto"/>
        </w:rPr>
        <w:t>. In the event of a</w:t>
      </w:r>
    </w:p>
    <w:p>
      <w:pPr>
        <w:spacing w:after="0" w:line="1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Qualifying Termination that occurs other than during the Change in Control Period, Executive will receive the following payments and benefits from the Company, subject to the requirements of this Agreement: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(a)</w:t>
            </w:r>
          </w:p>
        </w:tc>
        <w:tc>
          <w:tcPr>
            <w:tcW w:w="63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Salary Severance.  A single, lump sum, cash payment equal to</w:t>
            </w:r>
          </w:p>
        </w:tc>
      </w:tr>
      <w:tr>
        <w:trPr>
          <w:trHeight w:val="318"/>
        </w:trPr>
        <w:tc>
          <w:tcPr>
            <w:tcW w:w="488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seventy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percent (75%) of Executive’s Salary.</w:t>
            </w:r>
          </w:p>
        </w:tc>
        <w:tc>
          <w:tcPr>
            <w:tcW w:w="56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64"/>
        </w:trPr>
        <w:tc>
          <w:tcPr>
            <w:tcW w:w="488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(b)</w:t>
            </w:r>
          </w:p>
        </w:tc>
        <w:tc>
          <w:tcPr>
            <w:tcW w:w="56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COBRA  Severance.</w:t>
            </w:r>
          </w:p>
        </w:tc>
        <w:tc>
          <w:tcPr>
            <w:tcW w:w="3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Subject  to  Executive  timely  electing</w:t>
            </w:r>
          </w:p>
        </w:tc>
      </w:tr>
      <w:tr>
        <w:trPr>
          <w:trHeight w:val="20"/>
        </w:trPr>
        <w:tc>
          <w:tcPr>
            <w:tcW w:w="4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continuation coverage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further subject to Section 5.3, Executive will receive Company-paid group health, dental and vision coverage for Executive and any of Executive’s eligible dependents, as applicable (the “</w:t>
      </w:r>
      <w:r>
        <w:rPr>
          <w:rFonts w:ascii="Times New Roman" w:cs="Times New Roman" w:eastAsia="Times New Roman" w:hAnsi="Times New Roman"/>
          <w:sz w:val="22"/>
          <w:szCs w:val="22"/>
          <w:u w:val="single" w:color="auto"/>
          <w:color w:val="auto"/>
        </w:rPr>
        <w:t>COBRA Severance</w:t>
      </w:r>
      <w:r>
        <w:rPr>
          <w:rFonts w:ascii="Times New Roman" w:cs="Times New Roman" w:eastAsia="Times New Roman" w:hAnsi="Times New Roman"/>
          <w:sz w:val="22"/>
          <w:szCs w:val="22"/>
          <w:color w:val="auto"/>
        </w:rPr>
        <w:t>”), following the Qualifying Termination until the earliest of: (i) nine (9)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w:t>
            </w:r>
          </w:p>
        </w:tc>
        <w:tc>
          <w:tcPr>
            <w:tcW w:w="234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Vesting  Acceleration  of</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Certain  Equity  Awards.</w:t>
            </w:r>
          </w:p>
        </w:tc>
        <w:tc>
          <w:tcPr>
            <w:tcW w:w="8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Vesting</w:t>
            </w:r>
          </w:p>
        </w:tc>
      </w:tr>
      <w:tr>
        <w:trPr>
          <w:trHeight w:val="318"/>
        </w:trPr>
        <w:tc>
          <w:tcPr>
            <w:tcW w:w="5440" w:type="dxa"/>
            <w:vAlign w:val="bottom"/>
          </w:tcPr>
          <w:p>
            <w:pPr>
              <w:jc w:val="center"/>
              <w:spacing w:after="0" w:line="253" w:lineRule="exact"/>
              <w:rPr>
                <w:sz w:val="20"/>
                <w:szCs w:val="20"/>
                <w:color w:val="auto"/>
              </w:rPr>
            </w:pPr>
            <w:r>
              <w:rPr>
                <w:rFonts w:ascii="Times New Roman" w:cs="Times New Roman" w:eastAsia="Times New Roman" w:hAnsi="Times New Roman"/>
                <w:sz w:val="22"/>
                <w:szCs w:val="22"/>
                <w:color w:val="auto"/>
                <w:w w:val="98"/>
              </w:rPr>
              <w:t>acceleration of twenty</w:t>
            </w:r>
            <w:r>
              <w:rPr>
                <w:rFonts w:ascii="MS PGothic" w:cs="MS PGothic" w:eastAsia="MS PGothic" w:hAnsi="MS PGothic"/>
                <w:sz w:val="22"/>
                <w:szCs w:val="22"/>
                <w:color w:val="auto"/>
                <w:w w:val="98"/>
              </w:rPr>
              <w:t>‑</w:t>
            </w:r>
            <w:r>
              <w:rPr>
                <w:rFonts w:ascii="Times New Roman" w:cs="Times New Roman" w:eastAsia="Times New Roman" w:hAnsi="Times New Roman"/>
                <w:sz w:val="22"/>
                <w:szCs w:val="22"/>
                <w:color w:val="auto"/>
                <w:w w:val="98"/>
              </w:rPr>
              <w:t>five percent (25%) of the shares subject</w:t>
            </w: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to the stock option Award</w:t>
            </w:r>
          </w:p>
        </w:tc>
        <w:tc>
          <w:tcPr>
            <w:tcW w:w="2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granted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
        </w:trPr>
        <w:tc>
          <w:tcPr>
            <w:tcW w:w="5440" w:type="dxa"/>
            <w:vAlign w:val="bottom"/>
            <w:tcBorders>
              <w:bottom w:val="single" w:sz="8" w:color="9A9A9A"/>
            </w:tcBorders>
          </w:tcPr>
          <w:p>
            <w:pPr>
              <w:spacing w:after="0"/>
              <w:rPr>
                <w:sz w:val="5"/>
                <w:szCs w:val="5"/>
                <w:color w:val="auto"/>
              </w:rPr>
            </w:pPr>
          </w:p>
        </w:tc>
        <w:tc>
          <w:tcPr>
            <w:tcW w:w="2340" w:type="dxa"/>
            <w:vAlign w:val="bottom"/>
            <w:tcBorders>
              <w:bottom w:val="single" w:sz="8" w:color="9A9A9A"/>
            </w:tcBorders>
          </w:tcPr>
          <w:p>
            <w:pPr>
              <w:spacing w:after="0"/>
              <w:rPr>
                <w:sz w:val="5"/>
                <w:szCs w:val="5"/>
                <w:color w:val="auto"/>
              </w:rPr>
            </w:pPr>
          </w:p>
        </w:tc>
        <w:tc>
          <w:tcPr>
            <w:tcW w:w="23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22"/>
          <w:szCs w:val="22"/>
          <w:color w:val="auto"/>
        </w:rPr>
        <w:t>to Executive on August 15, 2019, that are outstanding and unvested as of the date of the Qualifying Termination.</w:t>
      </w:r>
    </w:p>
    <w:p>
      <w:pPr>
        <w:spacing w:after="0" w:line="206" w:lineRule="exact"/>
        <w:rPr>
          <w:sz w:val="20"/>
          <w:szCs w:val="20"/>
          <w:color w:val="auto"/>
        </w:rPr>
      </w:pPr>
    </w:p>
    <w:p>
      <w:pPr>
        <w:ind w:left="1740"/>
        <w:spacing w:after="0"/>
        <w:tabs>
          <w:tab w:leader="none" w:pos="39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Qualifying Termination During the Change in Control Period</w:t>
      </w:r>
      <w:r>
        <w:rPr>
          <w:rFonts w:ascii="Times New Roman" w:cs="Times New Roman" w:eastAsia="Times New Roman" w:hAnsi="Times New Roman"/>
          <w:sz w:val="22"/>
          <w:szCs w:val="22"/>
          <w:color w:val="auto"/>
        </w:rPr>
        <w:t>.  In the event of a</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Qualifying Termination that occurs during the Change in Control Period, Executive will receive the following payments and benefits from the Company, subject to the requirements of this Agreement: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(a)</w:t>
            </w:r>
          </w:p>
        </w:tc>
        <w:tc>
          <w:tcPr>
            <w:tcW w:w="58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Salary Severance. A single, lump sum, cash payment equal to one</w:t>
            </w:r>
          </w:p>
        </w:tc>
      </w:tr>
      <w:tr>
        <w:trPr>
          <w:trHeight w:val="275"/>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hundred percent (100%) of Executive’s Salary.</w:t>
            </w:r>
          </w:p>
        </w:tc>
        <w:tc>
          <w:tcPr>
            <w:tcW w:w="14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407"/>
        </w:trPr>
        <w:tc>
          <w:tcPr>
            <w:tcW w:w="54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(b)</w:t>
            </w:r>
          </w:p>
        </w:tc>
        <w:tc>
          <w:tcPr>
            <w:tcW w:w="58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Bonus Severance. A single, lump sum, cash payment equal to one</w:t>
            </w:r>
          </w:p>
        </w:tc>
      </w:tr>
      <w:tr>
        <w:trPr>
          <w:trHeight w:val="275"/>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hundred percent (100%) of Executive’s Target Bonus.</w:t>
            </w:r>
          </w:p>
        </w:tc>
        <w:tc>
          <w:tcPr>
            <w:tcW w:w="14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407"/>
        </w:trPr>
        <w:tc>
          <w:tcPr>
            <w:tcW w:w="54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(c)</w:t>
            </w:r>
          </w:p>
        </w:tc>
        <w:tc>
          <w:tcPr>
            <w:tcW w:w="20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COBRA  Severance.</w:t>
            </w:r>
          </w:p>
        </w:tc>
        <w:tc>
          <w:tcPr>
            <w:tcW w:w="3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Subject  to  Executive  timely  electing</w:t>
            </w:r>
          </w:p>
        </w:tc>
      </w:tr>
      <w:tr>
        <w:trPr>
          <w:trHeight w:val="20"/>
        </w:trPr>
        <w:tc>
          <w:tcPr>
            <w:tcW w:w="5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continuation coverage under COBRA and further subject to Section 5.3, Executive will receive COBRA Severance until the earliest of: (i) twelve (12)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80" w:lineRule="exact"/>
        <w:rPr>
          <w:sz w:val="20"/>
          <w:szCs w:val="20"/>
          <w:color w:val="auto"/>
        </w:rPr>
      </w:pPr>
    </w:p>
    <w:p>
      <w:pPr>
        <w:ind w:left="2600"/>
        <w:spacing w:after="0"/>
        <w:tabs>
          <w:tab w:leader="none" w:pos="5420" w:val="left"/>
          <w:tab w:leader="none" w:pos="6280" w:val="left"/>
          <w:tab w:leader="none" w:pos="7600" w:val="left"/>
          <w:tab w:leader="none" w:pos="8000" w:val="left"/>
          <w:tab w:leader="none" w:pos="9440" w:val="left"/>
          <w:tab w:leader="none" w:pos="10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u w:val="single" w:color="auto"/>
          <w:color w:val="auto"/>
        </w:rPr>
        <w:t>Vesting</w:t>
      </w:r>
      <w:r>
        <w:rPr>
          <w:sz w:val="20"/>
          <w:szCs w:val="20"/>
          <w:color w:val="auto"/>
        </w:rPr>
        <w:tab/>
      </w:r>
      <w:r>
        <w:rPr>
          <w:rFonts w:ascii="Times New Roman" w:cs="Times New Roman" w:eastAsia="Times New Roman" w:hAnsi="Times New Roman"/>
          <w:sz w:val="22"/>
          <w:szCs w:val="22"/>
          <w:u w:val="single" w:color="auto"/>
          <w:color w:val="auto"/>
        </w:rPr>
        <w:t>Acceleration</w:t>
        <w:tab/>
        <w:t>of</w:t>
        <w:tab/>
        <w:t>Service-based</w:t>
        <w:tab/>
        <w:t>Awards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Vesting</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acceleration of one hundred percent (100%) of any Service-based Awards that are outstanding and unvested as of the date of the Qualifying Termination.</w:t>
      </w:r>
    </w:p>
    <w:p>
      <w:pPr>
        <w:spacing w:after="0" w:line="178" w:lineRule="exact"/>
        <w:rPr>
          <w:sz w:val="20"/>
          <w:szCs w:val="20"/>
          <w:color w:val="auto"/>
        </w:rPr>
      </w:pPr>
    </w:p>
    <w:p>
      <w:pPr>
        <w:jc w:val="both"/>
        <w:ind w:firstLine="2592"/>
        <w:spacing w:after="0" w:line="247" w:lineRule="auto"/>
        <w:rPr>
          <w:sz w:val="20"/>
          <w:szCs w:val="20"/>
          <w:color w:val="auto"/>
        </w:rPr>
      </w:pPr>
      <w:r>
        <w:rPr>
          <w:rFonts w:ascii="Times New Roman" w:cs="Times New Roman" w:eastAsia="Times New Roman" w:hAnsi="Times New Roman"/>
          <w:sz w:val="21"/>
          <w:szCs w:val="21"/>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2"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Termination Other Than a Qualifying Termination</w:t>
      </w:r>
      <w:r>
        <w:rPr>
          <w:rFonts w:ascii="Times New Roman" w:cs="Times New Roman" w:eastAsia="Times New Roman" w:hAnsi="Times New Roman"/>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Non-duplication of Payment or Benefits</w:t>
      </w:r>
      <w:r>
        <w:rPr>
          <w:rFonts w:ascii="Times New Roman" w:cs="Times New Roman" w:eastAsia="Times New Roman" w:hAnsi="Times New Roman"/>
          <w:sz w:val="22"/>
          <w:szCs w:val="22"/>
          <w:color w:val="auto"/>
        </w:rPr>
        <w:t>. For purposes of clarity, in the event of a Qualifying Termination that occurs during the period within one (1) month prior to a Change in Control, any severance payments and benefits to be provided to Executive under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4" w:name="page525"/>
    <w:bookmarkEnd w:id="524"/>
    <w:p>
      <w:pPr>
        <w:jc w:val="both"/>
        <w:spacing w:after="0" w:line="236" w:lineRule="auto"/>
        <w:rPr>
          <w:sz w:val="20"/>
          <w:szCs w:val="20"/>
          <w:color w:val="auto"/>
        </w:rPr>
      </w:pPr>
      <w:r>
        <w:rPr>
          <w:rFonts w:ascii="Times New Roman" w:cs="Times New Roman" w:eastAsia="Times New Roman" w:hAnsi="Times New Roman"/>
          <w:sz w:val="22"/>
          <w:szCs w:val="22"/>
          <w:color w:val="auto"/>
        </w:rPr>
        <w:t>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then the corresponding severance payments and benefits under this Agreement will be reduced by the amount of Other Benefits paid or provided to Executive.</w:t>
      </w:r>
    </w:p>
    <w:p>
      <w:pPr>
        <w:spacing w:after="0" w:line="181" w:lineRule="exact"/>
        <w:rPr>
          <w:sz w:val="20"/>
          <w:szCs w:val="20"/>
          <w:color w:val="auto"/>
        </w:rPr>
      </w:pPr>
    </w:p>
    <w:p>
      <w:pPr>
        <w:jc w:val="both"/>
        <w:ind w:firstLine="1727"/>
        <w:spacing w:after="0"/>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Death of Executive</w:t>
      </w:r>
      <w:r>
        <w:rPr>
          <w:rFonts w:ascii="Times New Roman" w:cs="Times New Roman" w:eastAsia="Times New Roman" w:hAnsi="Times New Roman"/>
          <w:sz w:val="22"/>
          <w:szCs w:val="22"/>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200" w:lineRule="exact"/>
        <w:rPr>
          <w:sz w:val="20"/>
          <w:szCs w:val="20"/>
          <w:color w:val="auto"/>
        </w:rPr>
      </w:pPr>
    </w:p>
    <w:p>
      <w:pPr>
        <w:spacing w:after="0" w:line="229"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Change in Control Vesting Acceleration</w:t>
      </w:r>
      <w:r>
        <w:rPr>
          <w:rFonts w:ascii="Times New Roman" w:cs="Times New Roman" w:eastAsia="Times New Roman" w:hAnsi="Times New Roman"/>
          <w:sz w:val="22"/>
          <w:szCs w:val="22"/>
          <w:color w:val="auto"/>
        </w:rPr>
        <w:t>. Notwithstanding anything to the contrary in this Agreement, in the event of a Change in Control in which the acquiring or succeeding corporation (or an affiliate thereof) does not assume or substitute for any of Executive’s Awards (or portions thereof) granted under the Company’s 2014 Equity Incentive Plan (the “</w:t>
      </w:r>
      <w:r>
        <w:rPr>
          <w:rFonts w:ascii="Times New Roman" w:cs="Times New Roman" w:eastAsia="Times New Roman" w:hAnsi="Times New Roman"/>
          <w:sz w:val="22"/>
          <w:szCs w:val="22"/>
          <w:u w:val="single" w:color="auto"/>
          <w:color w:val="auto"/>
        </w:rPr>
        <w:t>2014 Plan</w:t>
      </w:r>
      <w:r>
        <w:rPr>
          <w:rFonts w:ascii="Times New Roman" w:cs="Times New Roman" w:eastAsia="Times New Roman" w:hAnsi="Times New Roman"/>
          <w:sz w:val="22"/>
          <w:szCs w:val="22"/>
          <w:color w:val="auto"/>
        </w:rPr>
        <w:t>”), (a) Executive will fully vest in and have the right to exercise such outstanding Awards (or portions thereof) not assumed or substituted for, including shares as to which such Award would not otherwise be vested or exercisable, and (b) the Company will notify Executive in writing or electronically that any such Award that is an option (or its applicable portion) will be exercisable for a period of time determined by the administrator of the 2014 Plan in its sole discretion, and the option Award (or its applicable portion) will terminate upon the expiration of such period.</w:t>
      </w:r>
    </w:p>
    <w:p>
      <w:pPr>
        <w:spacing w:after="0" w:line="178" w:lineRule="exact"/>
        <w:rPr>
          <w:sz w:val="20"/>
          <w:szCs w:val="20"/>
          <w:color w:val="auto"/>
        </w:rPr>
      </w:pPr>
    </w:p>
    <w:p>
      <w:pPr>
        <w:jc w:val="both"/>
        <w:ind w:firstLine="872"/>
        <w:spacing w:after="0" w:line="244" w:lineRule="auto"/>
        <w:tabs>
          <w:tab w:leader="none" w:pos="2322"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73"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Separation Agreement and Release of Claims</w:t>
      </w:r>
      <w:r>
        <w:rPr>
          <w:rFonts w:ascii="Times New Roman" w:cs="Times New Roman" w:eastAsia="Times New Roman" w:hAnsi="Times New Roman"/>
          <w:sz w:val="22"/>
          <w:szCs w:val="22"/>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must become effective and irrevocable no later than the sixtieth (60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day following the date of the Qualifying Termination (the “</w:t>
      </w:r>
      <w:r>
        <w:rPr>
          <w:rFonts w:ascii="Times New Roman" w:cs="Times New Roman" w:eastAsia="Times New Roman" w:hAnsi="Times New Roman"/>
          <w:sz w:val="22"/>
          <w:szCs w:val="22"/>
          <w:u w:val="single" w:color="auto"/>
          <w:color w:val="auto"/>
        </w:rPr>
        <w:t>Release Deadline Date</w:t>
      </w:r>
      <w:r>
        <w:rPr>
          <w:rFonts w:ascii="Times New Roman" w:cs="Times New Roman" w:eastAsia="Times New Roman" w:hAnsi="Times New Roman"/>
          <w:sz w:val="22"/>
          <w:szCs w:val="22"/>
          <w:color w:val="auto"/>
        </w:rPr>
        <w:t>”). If the Release does not become effective and irrevocable by the Release Deadline Date, Executive will forfeit any right to severance payments or benefits under Section 3.</w:t>
      </w:r>
    </w:p>
    <w:p>
      <w:pPr>
        <w:spacing w:after="0" w:line="181"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Payment Timing</w:t>
      </w:r>
      <w:r>
        <w:rPr>
          <w:rFonts w:ascii="Times New Roman" w:cs="Times New Roman" w:eastAsia="Times New Roman" w:hAnsi="Times New Roman"/>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5" w:name="page526"/>
    <w:bookmarkEnd w:id="525"/>
    <w:p>
      <w:pPr>
        <w:jc w:val="both"/>
        <w:spacing w:after="0" w:line="234" w:lineRule="auto"/>
        <w:rPr>
          <w:sz w:val="20"/>
          <w:szCs w:val="20"/>
          <w:color w:val="auto"/>
        </w:rPr>
      </w:pPr>
      <w:r>
        <w:rPr>
          <w:rFonts w:ascii="Times New Roman" w:cs="Times New Roman" w:eastAsia="Times New Roman" w:hAnsi="Times New Roman"/>
          <w:sz w:val="22"/>
          <w:szCs w:val="22"/>
          <w:color w:val="auto"/>
        </w:rPr>
        <w:t>Qualifying Termination will be paid on the later of (x) the first regularly scheduled payroll date of the Company following the date the Release becomes effective and irrevocable, or (y) the date of the Change in Control, in each case subject to any delay required by Section 5.4 below. Any Service-based Awards that are restricted stock units, performance shares, performance units, and/or similar full value awards (“</w:t>
      </w:r>
      <w:r>
        <w:rPr>
          <w:rFonts w:ascii="Times New Roman" w:cs="Times New Roman" w:eastAsia="Times New Roman" w:hAnsi="Times New Roman"/>
          <w:sz w:val="22"/>
          <w:szCs w:val="22"/>
          <w:u w:val="single" w:color="auto"/>
          <w:color w:val="auto"/>
        </w:rPr>
        <w:t>Full Value Awards</w:t>
      </w:r>
      <w:r>
        <w:rPr>
          <w:rFonts w:ascii="Times New Roman" w:cs="Times New Roman" w:eastAsia="Times New Roman" w:hAnsi="Times New Roman"/>
          <w:sz w:val="22"/>
          <w:szCs w:val="22"/>
          <w:color w:val="auto"/>
        </w:rPr>
        <w:t>”) that accelerate vesting under Section 3.2(d)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83"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COBRA Severance Limitations</w:t>
      </w:r>
      <w:r>
        <w:rPr>
          <w:rFonts w:ascii="Times New Roman" w:cs="Times New Roman" w:eastAsia="Times New Roman" w:hAnsi="Times New Roman"/>
          <w:sz w:val="22"/>
          <w:szCs w:val="22"/>
          <w:color w:val="auto"/>
        </w:rPr>
        <w:t>. If the Company determines in its sole discretion that it cannot provide the COBRA Severance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below in this Section 5.3),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Times New Roman" w:cs="Times New Roman" w:eastAsia="Times New Roman" w:hAnsi="Times New Roman"/>
          <w:sz w:val="22"/>
          <w:szCs w:val="22"/>
          <w:u w:val="single" w:color="auto"/>
          <w:color w:val="auto"/>
        </w:rPr>
        <w:t>COBRA Replacement Payment</w:t>
      </w:r>
      <w:r>
        <w:rPr>
          <w:rFonts w:ascii="Times New Roman" w:cs="Times New Roman" w:eastAsia="Times New Roman" w:hAnsi="Times New Roman"/>
          <w:sz w:val="22"/>
          <w:szCs w:val="22"/>
          <w:color w:val="auto"/>
        </w:rPr>
        <w:t>”),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(i) of Section (b) or Section (c), as applicable. For the avoidance of doubt, the COBRA Replacement Payments may be used for any purpose, including, but not limited to continuation coverage under COBRA, and will be subject to any applicable withholdings. Notwithstanding the foregoing, any COBRA Replacement Payments that otherwise would be payable prior to the date that the Release becomes effective and irrevocable shall be paid in a single lump sum on the first regularly scheduled payroll date of the Company following the date the Release becomes effective and irrevocable, and any remaining COBRA Replacement Payments will be paid in accordance with the schedule described further above in this Section 5.3, in each case subject to any delay required by Section 5.4 below).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84"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6" w:name="page527"/>
    <w:bookmarkEnd w:id="526"/>
    <w:p>
      <w:pPr>
        <w:jc w:val="both"/>
        <w:spacing w:after="0" w:line="238" w:lineRule="auto"/>
        <w:rPr>
          <w:sz w:val="20"/>
          <w:szCs w:val="20"/>
          <w:color w:val="auto"/>
        </w:rPr>
      </w:pPr>
      <w:r>
        <w:rPr>
          <w:rFonts w:ascii="Times New Roman" w:cs="Times New Roman" w:eastAsia="Times New Roman" w:hAnsi="Times New Roman"/>
          <w:sz w:val="22"/>
          <w:szCs w:val="22"/>
          <w:color w:val="auto"/>
        </w:rPr>
        <w:t>if any, under this Agreement or otherwise,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u w:val="single" w:color="auto"/>
          <w:color w:val="auto"/>
        </w:rPr>
        <w:t>Deferred Payments</w:t>
      </w:r>
      <w:r>
        <w:rPr>
          <w:rFonts w:ascii="Times New Roman" w:cs="Times New Roman" w:eastAsia="Times New Roman" w:hAnsi="Times New Roman"/>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77" w:lineRule="exact"/>
        <w:rPr>
          <w:sz w:val="20"/>
          <w:szCs w:val="20"/>
          <w:color w:val="auto"/>
        </w:rPr>
      </w:pPr>
    </w:p>
    <w:p>
      <w:pPr>
        <w:jc w:val="both"/>
        <w:ind w:firstLine="2600"/>
        <w:spacing w:after="0" w:line="239" w:lineRule="auto"/>
        <w:tabs>
          <w:tab w:leader="none" w:pos="3480"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80" w:lineRule="exact"/>
        <w:rPr>
          <w:rFonts w:ascii="Times New Roman" w:cs="Times New Roman" w:eastAsia="Times New Roman" w:hAnsi="Times New Roman"/>
          <w:sz w:val="22"/>
          <w:szCs w:val="22"/>
          <w:color w:val="auto"/>
        </w:rPr>
      </w:pPr>
    </w:p>
    <w:p>
      <w:pPr>
        <w:jc w:val="both"/>
        <w:ind w:firstLine="2600"/>
        <w:spacing w:after="0" w:line="233" w:lineRule="auto"/>
        <w:tabs>
          <w:tab w:leader="none" w:pos="3492"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7" w:lineRule="exact"/>
        <w:rPr>
          <w:rFonts w:ascii="Times New Roman" w:cs="Times New Roman" w:eastAsia="Times New Roman" w:hAnsi="Times New Roman"/>
          <w:sz w:val="22"/>
          <w:szCs w:val="22"/>
          <w:color w:val="auto"/>
        </w:rPr>
      </w:pPr>
    </w:p>
    <w:p>
      <w:pPr>
        <w:jc w:val="both"/>
        <w:ind w:firstLine="2600"/>
        <w:spacing w:after="0" w:line="234" w:lineRule="auto"/>
        <w:tabs>
          <w:tab w:leader="none" w:pos="3480"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83"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Reduction of Severance Benefits</w:t>
      </w:r>
      <w:r>
        <w:rPr>
          <w:rFonts w:ascii="Times New Roman" w:cs="Times New Roman" w:eastAsia="Times New Roman" w:hAnsi="Times New Roman"/>
          <w:sz w:val="22"/>
          <w:szCs w:val="22"/>
          <w:color w:val="auto"/>
        </w:rPr>
        <w:t>. If any payment or benefit that Executive would receive from the Company or any other party whether in connection with the provisions in this Agreement or otherwise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(a) constitute a “parachute payment” within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7" w:name="page528"/>
    <w:bookmarkEnd w:id="527"/>
    <w:p>
      <w:pPr>
        <w:jc w:val="both"/>
        <w:ind w:right="20"/>
        <w:spacing w:after="0" w:line="232" w:lineRule="auto"/>
        <w:rPr>
          <w:sz w:val="20"/>
          <w:szCs w:val="20"/>
          <w:color w:val="auto"/>
        </w:rPr>
      </w:pPr>
      <w:r>
        <w:rPr>
          <w:rFonts w:ascii="Times New Roman" w:cs="Times New Roman" w:eastAsia="Times New Roman" w:hAnsi="Times New Roman"/>
          <w:sz w:val="22"/>
          <w:szCs w:val="22"/>
          <w:color w:val="auto"/>
        </w:rPr>
        <w:t>the meaning of Section 280G of the Code and (b) but for this sentence,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87" w:lineRule="exact"/>
        <w:rPr>
          <w:sz w:val="20"/>
          <w:szCs w:val="20"/>
          <w:color w:val="auto"/>
        </w:rPr>
      </w:pPr>
    </w:p>
    <w:p>
      <w:pPr>
        <w:jc w:val="both"/>
        <w:ind w:right="20" w:firstLine="1727"/>
        <w:spacing w:after="0" w:line="23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Determination of Excise Tax Liability</w:t>
      </w:r>
      <w:r>
        <w:rPr>
          <w:rFonts w:ascii="Times New Roman" w:cs="Times New Roman" w:eastAsia="Times New Roman" w:hAnsi="Times New Roman"/>
          <w:sz w:val="22"/>
          <w:szCs w:val="22"/>
          <w:color w:val="auto"/>
        </w:rPr>
        <w:t>. Unless the Company and Executive otherwise agree in writing, any determinations required under this Section 6 will be made in writing by a nationally recognized accounting or valuation firm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79" w:lineRule="exact"/>
        <w:rPr>
          <w:sz w:val="20"/>
          <w:szCs w:val="20"/>
          <w:color w:val="auto"/>
        </w:rPr>
      </w:pPr>
    </w:p>
    <w:p>
      <w:pPr>
        <w:ind w:left="2320" w:hanging="1448"/>
        <w:spacing w:after="0"/>
        <w:tabs>
          <w:tab w:leader="none" w:pos="2320"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7.1.</w:t>
            </w:r>
          </w:p>
        </w:tc>
        <w:tc>
          <w:tcPr>
            <w:tcW w:w="7680" w:type="dxa"/>
            <w:vAlign w:val="bottom"/>
            <w:gridSpan w:val="4"/>
          </w:tcPr>
          <w:p>
            <w:pPr>
              <w:ind w:left="420"/>
              <w:spacing w:after="0"/>
              <w:rPr>
                <w:sz w:val="20"/>
                <w:szCs w:val="20"/>
                <w:color w:val="auto"/>
              </w:rPr>
            </w:pPr>
            <w:r>
              <w:rPr>
                <w:rFonts w:ascii="Times New Roman" w:cs="Times New Roman" w:eastAsia="Times New Roman" w:hAnsi="Times New Roman"/>
                <w:sz w:val="22"/>
                <w:szCs w:val="22"/>
                <w:color w:val="auto"/>
                <w:w w:val="98"/>
              </w:rPr>
              <w:t>“Award” means stock options and other equity awards covering shares of Company</w:t>
            </w:r>
          </w:p>
        </w:tc>
      </w:tr>
      <w:tr>
        <w:trPr>
          <w:trHeight w:val="275"/>
        </w:trPr>
        <w:tc>
          <w:tcPr>
            <w:tcW w:w="35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7"/>
              </w:rPr>
              <w:t>common stock granted to Executive.</w:t>
            </w:r>
          </w:p>
        </w:tc>
        <w:tc>
          <w:tcPr>
            <w:tcW w:w="52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600" w:type="dxa"/>
            <w:vAlign w:val="bottom"/>
          </w:tcPr>
          <w:p>
            <w:pPr>
              <w:spacing w:after="0"/>
              <w:rPr>
                <w:sz w:val="23"/>
                <w:szCs w:val="23"/>
                <w:color w:val="auto"/>
              </w:rPr>
            </w:pPr>
          </w:p>
        </w:tc>
      </w:tr>
      <w:tr>
        <w:trPr>
          <w:trHeight w:val="407"/>
        </w:trPr>
        <w:tc>
          <w:tcPr>
            <w:tcW w:w="358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7.2.</w:t>
            </w:r>
          </w:p>
        </w:tc>
        <w:tc>
          <w:tcPr>
            <w:tcW w:w="7680" w:type="dxa"/>
            <w:vAlign w:val="bottom"/>
            <w:gridSpan w:val="4"/>
          </w:tcPr>
          <w:p>
            <w:pPr>
              <w:ind w:left="420"/>
              <w:spacing w:after="0"/>
              <w:rPr>
                <w:sz w:val="20"/>
                <w:szCs w:val="20"/>
                <w:color w:val="auto"/>
              </w:rPr>
            </w:pPr>
            <w:r>
              <w:rPr>
                <w:rFonts w:ascii="Times New Roman" w:cs="Times New Roman" w:eastAsia="Times New Roman" w:hAnsi="Times New Roman"/>
                <w:sz w:val="22"/>
                <w:szCs w:val="22"/>
                <w:color w:val="auto"/>
              </w:rPr>
              <w:t>“Board” means the Company’s Board of Directors.</w:t>
            </w:r>
          </w:p>
        </w:tc>
      </w:tr>
      <w:tr>
        <w:trPr>
          <w:trHeight w:val="385"/>
        </w:trPr>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40" w:type="dxa"/>
            <w:vAlign w:val="bottom"/>
            <w:gridSpan w:val="2"/>
          </w:tcPr>
          <w:p>
            <w:pPr>
              <w:jc w:val="right"/>
              <w:ind w:right="5600"/>
              <w:spacing w:after="0"/>
              <w:rPr>
                <w:sz w:val="20"/>
                <w:szCs w:val="20"/>
                <w:color w:val="auto"/>
              </w:rPr>
            </w:pPr>
            <w:r>
              <w:rPr>
                <w:rFonts w:ascii="Times New Roman" w:cs="Times New Roman" w:eastAsia="Times New Roman" w:hAnsi="Times New Roman"/>
                <w:sz w:val="18"/>
                <w:szCs w:val="18"/>
                <w:color w:val="auto"/>
              </w:rPr>
              <w:t>6</w:t>
            </w:r>
          </w:p>
        </w:tc>
      </w:tr>
      <w:tr>
        <w:trPr>
          <w:trHeight w:val="115"/>
        </w:trPr>
        <w:tc>
          <w:tcPr>
            <w:tcW w:w="3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528" w:name="page529"/>
    <w:bookmarkEnd w:id="528"/>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7.3.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Executive’s: (a) indictment or conviction of any felony or any crime involving dishonesty or moral turpitude; (b) 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 Executive’s obligations to the Company;</w:t>
      </w:r>
    </w:p>
    <w:p>
      <w:pPr>
        <w:jc w:val="both"/>
        <w:ind w:firstLine="8"/>
        <w:spacing w:after="0" w:line="230" w:lineRule="auto"/>
        <w:tabs>
          <w:tab w:leader="none" w:pos="336"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violation or breach of any material written Company policy, agreement with the Company, or any statutory or fiduciary duty to the Company after there has been delivered to you a written notification of such violation or breach; or</w:t>
      </w:r>
    </w:p>
    <w:p>
      <w:pPr>
        <w:spacing w:after="0" w:line="1" w:lineRule="exact"/>
        <w:rPr>
          <w:rFonts w:ascii="Times New Roman" w:cs="Times New Roman" w:eastAsia="Times New Roman" w:hAnsi="Times New Roman"/>
          <w:sz w:val="22"/>
          <w:szCs w:val="22"/>
          <w:color w:val="auto"/>
        </w:rPr>
      </w:pPr>
    </w:p>
    <w:p>
      <w:pPr>
        <w:ind w:firstLine="8"/>
        <w:spacing w:after="0" w:line="237" w:lineRule="auto"/>
        <w:tabs>
          <w:tab w:leader="none" w:pos="301"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damaging or misappropriating or attempting to damage or misappropriate any property, including intellectual property, of the Company.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7.4.</w:t>
            </w:r>
          </w:p>
        </w:tc>
        <w:tc>
          <w:tcPr>
            <w:tcW w:w="806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“Change in Control” means the first occurrence of any of the following events on</w:t>
            </w:r>
          </w:p>
        </w:tc>
      </w:tr>
      <w:tr>
        <w:trPr>
          <w:trHeight w:val="275"/>
        </w:trPr>
        <w:tc>
          <w:tcPr>
            <w:tcW w:w="31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w w:val="97"/>
              </w:rPr>
              <w:t>or after the Effective Date:</w:t>
            </w:r>
          </w:p>
        </w:tc>
        <w:tc>
          <w:tcPr>
            <w:tcW w:w="94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5500" w:type="dxa"/>
            <w:vAlign w:val="bottom"/>
          </w:tcPr>
          <w:p>
            <w:pPr>
              <w:spacing w:after="0"/>
              <w:rPr>
                <w:sz w:val="23"/>
                <w:szCs w:val="23"/>
                <w:color w:val="auto"/>
              </w:rPr>
            </w:pPr>
          </w:p>
        </w:tc>
      </w:tr>
    </w:tbl>
    <w:p>
      <w:pPr>
        <w:spacing w:after="0" w:line="177" w:lineRule="exact"/>
        <w:rPr>
          <w:sz w:val="20"/>
          <w:szCs w:val="20"/>
          <w:color w:val="auto"/>
        </w:rPr>
      </w:pPr>
    </w:p>
    <w:p>
      <w:pPr>
        <w:jc w:val="both"/>
        <w:ind w:firstLine="2600"/>
        <w:spacing w:after="0" w:line="233" w:lineRule="auto"/>
        <w:tabs>
          <w:tab w:leader="none" w:pos="3480"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rFonts w:ascii="Times New Roman" w:cs="Times New Roman" w:eastAsia="Times New Roman" w:hAnsi="Times New Roman"/>
          <w:sz w:val="22"/>
          <w:szCs w:val="22"/>
          <w:color w:val="auto"/>
        </w:rPr>
      </w:pPr>
    </w:p>
    <w:p>
      <w:pPr>
        <w:jc w:val="both"/>
        <w:ind w:firstLine="2600"/>
        <w:spacing w:after="0" w:line="235" w:lineRule="auto"/>
        <w:tabs>
          <w:tab w:leader="none" w:pos="3492"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22"/>
          <w:szCs w:val="22"/>
          <w:color w:val="auto"/>
        </w:rPr>
      </w:pPr>
    </w:p>
    <w:p>
      <w:pPr>
        <w:ind w:firstLine="2600"/>
        <w:spacing w:after="0" w:line="258" w:lineRule="auto"/>
        <w:tabs>
          <w:tab w:leader="none" w:pos="3480"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9" w:name="page530"/>
    <w:bookmarkEnd w:id="529"/>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2" w:lineRule="exact"/>
        <w:rPr>
          <w:sz w:val="20"/>
          <w:szCs w:val="20"/>
          <w:color w:val="auto"/>
        </w:rPr>
      </w:pPr>
    </w:p>
    <w:p>
      <w:pPr>
        <w:jc w:val="both"/>
        <w:ind w:right="20" w:firstLine="2592"/>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right="20" w:firstLine="2592"/>
        <w:spacing w:after="0" w:line="23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7"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7.5.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period beginning on the date one (1) month prior to a Change in Control and ending on (and inclusive of) the date that is the one (1) year anniversary of a Change in Control.</w:t>
      </w:r>
    </w:p>
    <w:p>
      <w:pPr>
        <w:spacing w:after="0" w:line="158" w:lineRule="exact"/>
        <w:rPr>
          <w:sz w:val="20"/>
          <w:szCs w:val="20"/>
          <w:color w:val="auto"/>
        </w:rPr>
      </w:pPr>
    </w:p>
    <w:p>
      <w:pPr>
        <w:jc w:val="both"/>
        <w:ind w:right="20" w:firstLine="1727"/>
        <w:spacing w:after="0" w:line="239" w:lineRule="auto"/>
        <w:rPr>
          <w:sz w:val="20"/>
          <w:szCs w:val="20"/>
          <w:color w:val="auto"/>
        </w:rPr>
      </w:pPr>
      <w:r>
        <w:rPr>
          <w:rFonts w:ascii="Times New Roman" w:cs="Times New Roman" w:eastAsia="Times New Roman" w:hAnsi="Times New Roman"/>
          <w:sz w:val="22"/>
          <w:szCs w:val="22"/>
          <w:color w:val="auto"/>
        </w:rPr>
        <w:t>7.6.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4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7.7.</w:t>
            </w:r>
          </w:p>
        </w:tc>
        <w:tc>
          <w:tcPr>
            <w:tcW w:w="8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w w:val="98"/>
              </w:rPr>
              <w:t>“Confidentiality Agreement” means Executive’s At-will Employment, Confidential</w:t>
            </w:r>
          </w:p>
        </w:tc>
        <w:tc>
          <w:tcPr>
            <w:tcW w:w="0" w:type="dxa"/>
            <w:vAlign w:val="bottom"/>
          </w:tcPr>
          <w:p>
            <w:pPr>
              <w:spacing w:after="0"/>
              <w:rPr>
                <w:sz w:val="1"/>
                <w:szCs w:val="1"/>
                <w:color w:val="auto"/>
              </w:rPr>
            </w:pPr>
          </w:p>
        </w:tc>
      </w:tr>
      <w:tr>
        <w:trPr>
          <w:trHeight w:val="20"/>
        </w:trPr>
        <w:tc>
          <w:tcPr>
            <w:tcW w:w="41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2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Information, Invention Assignment, and Arbitration Agreement entered into with the Company dated September 8, 2020.</w:t>
            </w:r>
          </w:p>
        </w:tc>
        <w:tc>
          <w:tcPr>
            <w:tcW w:w="0" w:type="dxa"/>
            <w:vAlign w:val="bottom"/>
          </w:tcPr>
          <w:p>
            <w:pPr>
              <w:spacing w:after="0"/>
              <w:rPr>
                <w:sz w:val="1"/>
                <w:szCs w:val="1"/>
                <w:color w:val="auto"/>
              </w:rPr>
            </w:pPr>
          </w:p>
        </w:tc>
      </w:tr>
      <w:tr>
        <w:trPr>
          <w:trHeight w:val="406"/>
        </w:trPr>
        <w:tc>
          <w:tcPr>
            <w:tcW w:w="304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7.8.</w:t>
            </w:r>
          </w:p>
        </w:tc>
        <w:tc>
          <w:tcPr>
            <w:tcW w:w="8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“Director” means a member of the Board.</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04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7.9.</w:t>
            </w:r>
          </w:p>
        </w:tc>
        <w:tc>
          <w:tcPr>
            <w:tcW w:w="8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w w:val="99"/>
              </w:rPr>
              <w:t>“Disability” means total and permanent disability as defined in Code Section 22(e)</w:t>
            </w:r>
          </w:p>
        </w:tc>
        <w:tc>
          <w:tcPr>
            <w:tcW w:w="0" w:type="dxa"/>
            <w:vAlign w:val="bottom"/>
          </w:tcPr>
          <w:p>
            <w:pPr>
              <w:spacing w:after="0"/>
              <w:rPr>
                <w:sz w:val="1"/>
                <w:szCs w:val="1"/>
                <w:color w:val="auto"/>
              </w:rPr>
            </w:pPr>
          </w:p>
        </w:tc>
      </w:tr>
      <w:tr>
        <w:trPr>
          <w:trHeight w:val="275"/>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1060" w:type="dxa"/>
            <w:vAlign w:val="bottom"/>
            <w:vMerge w:val="restart"/>
          </w:tcPr>
          <w:p>
            <w:pPr>
              <w:spacing w:after="0"/>
              <w:rPr>
                <w:sz w:val="23"/>
                <w:szCs w:val="23"/>
                <w:color w:val="auto"/>
              </w:rPr>
            </w:pPr>
          </w:p>
        </w:tc>
        <w:tc>
          <w:tcPr>
            <w:tcW w:w="860" w:type="dxa"/>
            <w:vAlign w:val="bottom"/>
            <w:tcBorders>
              <w:top w:val="single" w:sz="8" w:color="auto"/>
            </w:tcBorders>
            <w:gridSpan w:val="2"/>
            <w:vMerge w:val="restart"/>
          </w:tcPr>
          <w:p>
            <w:pPr>
              <w:spacing w:after="0"/>
              <w:rPr>
                <w:sz w:val="23"/>
                <w:szCs w:val="23"/>
                <w:color w:val="auto"/>
              </w:rPr>
            </w:pPr>
          </w:p>
        </w:tc>
        <w:tc>
          <w:tcPr>
            <w:tcW w:w="14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8</w:t>
            </w:r>
          </w:p>
        </w:tc>
        <w:tc>
          <w:tcPr>
            <w:tcW w:w="4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30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530" w:name="page531"/>
    <w:bookmarkEnd w:id="530"/>
    <w:p>
      <w:pPr>
        <w:jc w:val="both"/>
        <w:ind w:firstLine="1727"/>
        <w:spacing w:after="0" w:line="245" w:lineRule="exact"/>
        <w:rPr>
          <w:sz w:val="20"/>
          <w:szCs w:val="20"/>
          <w:color w:val="auto"/>
        </w:rPr>
      </w:pPr>
      <w:r>
        <w:rPr>
          <w:rFonts w:ascii="Times New Roman" w:cs="Times New Roman" w:eastAsia="Times New Roman" w:hAnsi="Times New Roman"/>
          <w:sz w:val="22"/>
          <w:szCs w:val="22"/>
          <w:color w:val="auto"/>
        </w:rPr>
        <w:t>7.10.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Executive’s termination of Executive’s employment with 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 (b) the requirement that Executive change Executive’s principal office to a facility that 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to which Executive is entitled immediately prior to such reduction (other than (x) in connection with a general decrease in the annual base salary or Employee Benefits of all similarly situated employees, and (y) following the Change in Control, to the extent necessary to make Executive’s annual base salary or Employee Benefits commensurate with those of other employees of the Company or its successor entity or parent entity who are similarly situated with Executive following such Change in Control); provided, however, that Executive must provide written notice to the Board of the condition that could constitute a “Good Reason” event within ninety (90) days following the initial existence of such condition and such condition must not have been remedied by the Company within thirty (30) days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of such written notice. To the extent Executive’s primary work location is not the Company’s corporate offices due to a shelter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place order, quarantine order, or similar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from</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85"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7.11.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Executive’s employment with the Company either (a) by the Company without Cause and other than due to Executive’s death or Disability, or (b) by Executive for Good Reason.</w:t>
      </w:r>
    </w:p>
    <w:p>
      <w:pPr>
        <w:spacing w:after="0" w:line="200" w:lineRule="exact"/>
        <w:rPr>
          <w:sz w:val="20"/>
          <w:szCs w:val="20"/>
          <w:color w:val="auto"/>
        </w:rPr>
      </w:pPr>
    </w:p>
    <w:p>
      <w:pPr>
        <w:spacing w:after="0" w:line="22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7.12.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7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7.13.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Treasury Regulations and guidance thereunder, and any applicable state law equivalent, as each may be promulgated, amended or modified from time to time.</w:t>
      </w:r>
    </w:p>
    <w:p>
      <w:pPr>
        <w:spacing w:after="0" w:line="200" w:lineRule="exact"/>
        <w:rPr>
          <w:sz w:val="20"/>
          <w:szCs w:val="20"/>
          <w:color w:val="auto"/>
        </w:rPr>
      </w:pPr>
    </w:p>
    <w:p>
      <w:pPr>
        <w:spacing w:after="0" w:line="22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7.14. “</w:t>
      </w:r>
      <w:r>
        <w:rPr>
          <w:rFonts w:ascii="Times New Roman" w:cs="Times New Roman" w:eastAsia="Times New Roman" w:hAnsi="Times New Roman"/>
          <w:sz w:val="22"/>
          <w:szCs w:val="22"/>
          <w:u w:val="single" w:color="auto"/>
          <w:color w:val="auto"/>
        </w:rPr>
        <w:t>Service-based Awards</w:t>
      </w:r>
      <w:r>
        <w:rPr>
          <w:rFonts w:ascii="Times New Roman" w:cs="Times New Roman" w:eastAsia="Times New Roman" w:hAnsi="Times New Roman"/>
          <w:sz w:val="22"/>
          <w:szCs w:val="22"/>
          <w:color w:val="auto"/>
        </w:rPr>
        <w:t xml:space="preserve"> ” means Awards that, as of the date of the Qualifying Termination, or in the case of a Qualifying Termination during the Change in Control Period, the later of the date of the Qualifying Termination or immediately prior to the Change in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1" w:name="page532"/>
    <w:bookmarkEnd w:id="531"/>
    <w:p>
      <w:pPr>
        <w:jc w:val="both"/>
        <w:spacing w:after="0" w:line="258" w:lineRule="auto"/>
        <w:rPr>
          <w:sz w:val="20"/>
          <w:szCs w:val="20"/>
          <w:color w:val="auto"/>
        </w:rPr>
      </w:pPr>
      <w:r>
        <w:rPr>
          <w:rFonts w:ascii="Times New Roman" w:cs="Times New Roman" w:eastAsia="Times New Roman" w:hAnsi="Times New Roman"/>
          <w:sz w:val="22"/>
          <w:szCs w:val="22"/>
          <w:color w:val="auto"/>
        </w:rPr>
        <w:t>Control, are held by Executive and subject to continued service-based vesting criteria, but not subject to the achievement of any performance-based or other similar vesting criteria.</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7.15.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872"/>
        <w:spacing w:after="0" w:line="235" w:lineRule="auto"/>
        <w:tabs>
          <w:tab w:leader="none" w:pos="2322"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8"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4000 Mason Road, Suite 300</w:t>
      </w:r>
    </w:p>
    <w:p>
      <w:pPr>
        <w:ind w:left="2600"/>
        <w:spacing w:after="0" w:line="230" w:lineRule="auto"/>
        <w:rPr>
          <w:sz w:val="20"/>
          <w:szCs w:val="20"/>
          <w:color w:val="auto"/>
        </w:rPr>
      </w:pPr>
      <w:r>
        <w:rPr>
          <w:rFonts w:ascii="Times New Roman" w:cs="Times New Roman" w:eastAsia="Times New Roman" w:hAnsi="Times New Roman"/>
          <w:sz w:val="22"/>
          <w:szCs w:val="22"/>
          <w:color w:val="auto"/>
        </w:rPr>
        <w:t>Seattle, WA 98195</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82"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2" w:name="page533"/>
    <w:bookmarkEnd w:id="532"/>
    <w:p>
      <w:pPr>
        <w:jc w:val="both"/>
        <w:ind w:firstLine="872"/>
        <w:spacing w:after="0" w:line="239" w:lineRule="auto"/>
        <w:tabs>
          <w:tab w:leader="none" w:pos="2430"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0" w:lineRule="exact"/>
        <w:rPr>
          <w:rFonts w:ascii="Times New Roman" w:cs="Times New Roman" w:eastAsia="Times New Roman" w:hAnsi="Times New Roman"/>
          <w:sz w:val="22"/>
          <w:szCs w:val="22"/>
          <w:color w:val="auto"/>
        </w:rPr>
      </w:pPr>
    </w:p>
    <w:p>
      <w:pPr>
        <w:ind w:left="2420" w:hanging="1548"/>
        <w:spacing w:after="0"/>
        <w:tabs>
          <w:tab w:leader="none" w:pos="2420"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5.4 and 6.</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rPr>
              <w:t>11.3.</w:t>
            </w:r>
          </w:p>
        </w:tc>
        <w:tc>
          <w:tcPr>
            <w:tcW w:w="71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Headings. Headings are provided herein for convenience only, and will not serve</w:t>
            </w:r>
          </w:p>
        </w:tc>
      </w:tr>
      <w:tr>
        <w:trPr>
          <w:trHeight w:val="20"/>
        </w:trPr>
        <w:tc>
          <w:tcPr>
            <w:tcW w:w="4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76"/>
        </w:trPr>
        <w:tc>
          <w:tcPr>
            <w:tcW w:w="1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as a basis for interpretation or construction of this Agreement.</w:t>
            </w:r>
          </w:p>
        </w:tc>
      </w:tr>
      <w:tr>
        <w:trPr>
          <w:trHeight w:val="406"/>
        </w:trPr>
        <w:tc>
          <w:tcPr>
            <w:tcW w:w="410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rPr>
              <w:t>11.4.</w:t>
            </w:r>
          </w:p>
        </w:tc>
        <w:tc>
          <w:tcPr>
            <w:tcW w:w="71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Entire Agreement. This Agreement, together with the Confidentiality Agreement,</w:t>
            </w:r>
          </w:p>
        </w:tc>
      </w:tr>
      <w:tr>
        <w:trPr>
          <w:trHeight w:val="20"/>
        </w:trPr>
        <w:tc>
          <w:tcPr>
            <w:tcW w:w="4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Executive’s confirmatory employment letter with the Company dated September 8, 2020, and the Company’s 2014 Equity Incentive Plan and award agreements thereunder governing Executive’s outstanding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80" w:lineRule="exact"/>
        <w:rPr>
          <w:sz w:val="20"/>
          <w:szCs w:val="20"/>
          <w:color w:val="auto"/>
        </w:rPr>
      </w:pPr>
    </w:p>
    <w:p>
      <w:pPr>
        <w:jc w:val="both"/>
        <w:ind w:firstLine="1727"/>
        <w:spacing w:after="0" w:line="251" w:lineRule="exact"/>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taxes or other required withholdings and payroll deductions (“</w:t>
      </w:r>
      <w:r>
        <w:rPr>
          <w:rFonts w:ascii="Times New Roman" w:cs="Times New Roman" w:eastAsia="Times New Roman" w:hAnsi="Times New Roman"/>
          <w:sz w:val="22"/>
          <w:szCs w:val="22"/>
          <w:u w:val="single" w:color="auto"/>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any parent, subsidiary or other affiliate of the Company, as applicable) is permitted to deduct or withhold, or require Executive to remit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3" w:name="page534"/>
    <w:bookmarkEnd w:id="533"/>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4" w:name="page535"/>
    <w:bookmarkEnd w:id="534"/>
    <w:p>
      <w:pPr>
        <w:ind w:firstLine="864"/>
        <w:spacing w:after="0" w:line="258" w:lineRule="auto"/>
        <w:rPr>
          <w:sz w:val="20"/>
          <w:szCs w:val="20"/>
          <w:color w:val="auto"/>
        </w:rPr>
      </w:pPr>
      <w:r>
        <w:rPr>
          <w:rFonts w:ascii="Times New Roman" w:cs="Times New Roman" w:eastAsia="Times New Roman" w:hAnsi="Times New Roman"/>
          <w:sz w:val="22"/>
          <w:szCs w:val="22"/>
          <w:color w:val="auto"/>
        </w:rPr>
        <w:t>By her, his, or its signature below, each of the parties signifies its acceptance of the terms of this Agreement, in the case of the Company by its duly authorized officer.</w:t>
      </w:r>
    </w:p>
    <w:p>
      <w:pPr>
        <w:spacing w:after="0" w:line="397"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2"/>
          <w:szCs w:val="22"/>
          <w:b w:val="1"/>
          <w:bCs w:val="1"/>
          <w:color w:val="auto"/>
        </w:rPr>
        <w:t>ATHIRA PHARMA, INC.</w:t>
      </w:r>
    </w:p>
    <w:p>
      <w:pPr>
        <w:spacing w:after="0" w:line="200" w:lineRule="exact"/>
        <w:rPr>
          <w:sz w:val="20"/>
          <w:szCs w:val="20"/>
          <w:color w:val="auto"/>
        </w:rPr>
      </w:pPr>
    </w:p>
    <w:p>
      <w:pPr>
        <w:spacing w:after="0" w:line="226" w:lineRule="exact"/>
        <w:rPr>
          <w:sz w:val="20"/>
          <w:szCs w:val="20"/>
          <w:color w:val="auto"/>
        </w:rPr>
      </w:pPr>
    </w:p>
    <w:p>
      <w:pPr>
        <w:ind w:left="6060"/>
        <w:spacing w:after="0"/>
        <w:tabs>
          <w:tab w:leader="none" w:pos="70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Leen Kawas</w:t>
      </w:r>
    </w:p>
    <w:p>
      <w:pPr>
        <w:spacing w:after="0" w:line="3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CEO</w:t>
      </w:r>
    </w:p>
    <w:p>
      <w:pPr>
        <w:spacing w:after="0" w:line="3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September 8, 2020</w:t>
      </w:r>
    </w:p>
    <w:p>
      <w:pPr>
        <w:spacing w:after="0" w:line="202"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2"/>
          <w:szCs w:val="22"/>
          <w:u w:val="single" w:color="auto"/>
          <w:color w:val="auto"/>
        </w:rPr>
        <w:t>/s/ Mark Litton</w:t>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September 8, 2020</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544" w:right="359" w:bottom="1440" w:gutter="0" w:footer="0" w:header="0"/>
        </w:sectPr>
      </w:pPr>
    </w:p>
    <w:bookmarkStart w:id="535" w:name="page536"/>
    <w:bookmarkEnd w:id="535"/>
    <w:p>
      <w:pPr>
        <w:ind w:left="10020"/>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Change in Control and Severance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Athira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Glenna Mileson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effective as of September 8, 2020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206" w:lineRule="exact"/>
        <w:rPr>
          <w:sz w:val="20"/>
          <w:szCs w:val="20"/>
          <w:color w:val="auto"/>
        </w:rPr>
      </w:pPr>
    </w:p>
    <w:p>
      <w:pPr>
        <w:jc w:val="both"/>
        <w:ind w:firstLine="872"/>
        <w:spacing w:after="0" w:line="244" w:lineRule="auto"/>
        <w:tabs>
          <w:tab w:leader="none" w:pos="2322"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3" w:lineRule="exact"/>
        <w:rPr>
          <w:rFonts w:ascii="Times New Roman" w:cs="Times New Roman" w:eastAsia="Times New Roman" w:hAnsi="Times New Roman"/>
          <w:sz w:val="22"/>
          <w:szCs w:val="22"/>
          <w:color w:val="auto"/>
        </w:rPr>
      </w:pPr>
    </w:p>
    <w:p>
      <w:pPr>
        <w:jc w:val="both"/>
        <w:ind w:firstLine="872"/>
        <w:spacing w:after="0" w:line="238" w:lineRule="auto"/>
        <w:tabs>
          <w:tab w:leader="none" w:pos="2322"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76"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tabs>
          <w:tab w:leader="none" w:pos="39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Qualifying Termination Outside of the Change in Control Period</w:t>
      </w:r>
      <w:r>
        <w:rPr>
          <w:rFonts w:ascii="Times New Roman" w:cs="Times New Roman" w:eastAsia="Times New Roman" w:hAnsi="Times New Roman"/>
          <w:sz w:val="21"/>
          <w:szCs w:val="21"/>
          <w:color w:val="auto"/>
        </w:rPr>
        <w:t>. In the event of a</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Qualifying Termination that occurs other than during the Change in Control Period, Executive will receive the following payments and benefits from the Company, subject to the requirements of this Agreement: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(a)</w:t>
            </w:r>
          </w:p>
        </w:tc>
        <w:tc>
          <w:tcPr>
            <w:tcW w:w="63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Salary Severance.  A single, lump sum, cash payment equal to</w:t>
            </w:r>
          </w:p>
        </w:tc>
      </w:tr>
      <w:tr>
        <w:trPr>
          <w:trHeight w:val="318"/>
        </w:trPr>
        <w:tc>
          <w:tcPr>
            <w:tcW w:w="488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seventy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percent (75%) of Executive’s Salary.</w:t>
            </w:r>
          </w:p>
        </w:tc>
        <w:tc>
          <w:tcPr>
            <w:tcW w:w="56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64"/>
        </w:trPr>
        <w:tc>
          <w:tcPr>
            <w:tcW w:w="488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(b)</w:t>
            </w:r>
          </w:p>
        </w:tc>
        <w:tc>
          <w:tcPr>
            <w:tcW w:w="56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COBRA  Severance.</w:t>
            </w:r>
          </w:p>
        </w:tc>
        <w:tc>
          <w:tcPr>
            <w:tcW w:w="3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Subject  to  Executive  timely  electing</w:t>
            </w:r>
          </w:p>
        </w:tc>
      </w:tr>
      <w:tr>
        <w:trPr>
          <w:trHeight w:val="20"/>
        </w:trPr>
        <w:tc>
          <w:tcPr>
            <w:tcW w:w="4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jc w:val="both"/>
        <w:spacing w:after="0" w:line="236" w:lineRule="auto"/>
        <w:rPr>
          <w:sz w:val="20"/>
          <w:szCs w:val="20"/>
          <w:color w:val="auto"/>
        </w:rPr>
      </w:pPr>
      <w:r>
        <w:rPr>
          <w:rFonts w:ascii="Times New Roman" w:cs="Times New Roman" w:eastAsia="Times New Roman" w:hAnsi="Times New Roman"/>
          <w:sz w:val="22"/>
          <w:szCs w:val="22"/>
          <w:color w:val="auto"/>
        </w:rPr>
        <w:t>continuation coverage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further subject to Section 5.3, Executive will receive Company-paid group health, dental and vision coverage for Executive and any of Executive’s eligible dependents, as applicable (the “</w:t>
      </w:r>
      <w:r>
        <w:rPr>
          <w:rFonts w:ascii="Times New Roman" w:cs="Times New Roman" w:eastAsia="Times New Roman" w:hAnsi="Times New Roman"/>
          <w:sz w:val="22"/>
          <w:szCs w:val="22"/>
          <w:u w:val="single" w:color="auto"/>
          <w:color w:val="auto"/>
        </w:rPr>
        <w:t>COBRA Severance</w:t>
      </w:r>
      <w:r>
        <w:rPr>
          <w:rFonts w:ascii="Times New Roman" w:cs="Times New Roman" w:eastAsia="Times New Roman" w:hAnsi="Times New Roman"/>
          <w:sz w:val="22"/>
          <w:szCs w:val="22"/>
          <w:color w:val="auto"/>
        </w:rPr>
        <w:t>”), following the Qualifying Termination until the earliest of: (i) nine (9)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81" w:lineRule="exact"/>
        <w:rPr>
          <w:sz w:val="20"/>
          <w:szCs w:val="20"/>
          <w:color w:val="auto"/>
        </w:rPr>
      </w:pPr>
    </w:p>
    <w:p>
      <w:pPr>
        <w:ind w:left="1740"/>
        <w:spacing w:after="0"/>
        <w:tabs>
          <w:tab w:leader="none" w:pos="39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Qualifying Termination During the Change in Control Period</w:t>
      </w:r>
      <w:r>
        <w:rPr>
          <w:rFonts w:ascii="Times New Roman" w:cs="Times New Roman" w:eastAsia="Times New Roman" w:hAnsi="Times New Roman"/>
          <w:sz w:val="22"/>
          <w:szCs w:val="22"/>
          <w:color w:val="auto"/>
        </w:rPr>
        <w:t>.  In the event of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Qualifying Termination that occurs during the Change in Control Period, Executive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22"/>
          <w:szCs w:val="22"/>
          <w:color w:val="auto"/>
        </w:rPr>
        <w:t>receive the following payments and benefits from the Company, subject to the requirements of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(a)</w:t>
            </w:r>
          </w:p>
        </w:tc>
        <w:tc>
          <w:tcPr>
            <w:tcW w:w="58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Salary Severance. A single, lump sum, cash payment equal to one</w:t>
            </w:r>
          </w:p>
        </w:tc>
      </w:tr>
      <w:tr>
        <w:trPr>
          <w:trHeight w:val="275"/>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hundred percent (100%) of Executive’s Salary.</w:t>
            </w:r>
          </w:p>
        </w:tc>
        <w:tc>
          <w:tcPr>
            <w:tcW w:w="14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407"/>
        </w:trPr>
        <w:tc>
          <w:tcPr>
            <w:tcW w:w="54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(b)</w:t>
            </w:r>
          </w:p>
        </w:tc>
        <w:tc>
          <w:tcPr>
            <w:tcW w:w="58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Bonus Severance. A single, lump sum, cash payment equal to one</w:t>
            </w:r>
          </w:p>
        </w:tc>
      </w:tr>
      <w:tr>
        <w:trPr>
          <w:trHeight w:val="275"/>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hundred percent (100%) of Executive’s Target Bonus.</w:t>
            </w:r>
          </w:p>
        </w:tc>
        <w:tc>
          <w:tcPr>
            <w:tcW w:w="14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407"/>
        </w:trPr>
        <w:tc>
          <w:tcPr>
            <w:tcW w:w="544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(c)</w:t>
            </w:r>
          </w:p>
        </w:tc>
        <w:tc>
          <w:tcPr>
            <w:tcW w:w="20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COBRA  Severance.</w:t>
            </w:r>
          </w:p>
        </w:tc>
        <w:tc>
          <w:tcPr>
            <w:tcW w:w="3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Subject  to  Executive  timely  electing</w:t>
            </w:r>
          </w:p>
        </w:tc>
      </w:tr>
      <w:tr>
        <w:trPr>
          <w:trHeight w:val="20"/>
        </w:trPr>
        <w:tc>
          <w:tcPr>
            <w:tcW w:w="5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continuation coverage under COBRA and further subject to Section 5.3, Executive will receive COBRA Severance until the earliest of: (i) twelve (12)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80" w:lineRule="exact"/>
        <w:rPr>
          <w:sz w:val="20"/>
          <w:szCs w:val="20"/>
          <w:color w:val="auto"/>
        </w:rPr>
      </w:pPr>
    </w:p>
    <w:p>
      <w:pPr>
        <w:ind w:left="2600"/>
        <w:spacing w:after="0"/>
        <w:tabs>
          <w:tab w:leader="none" w:pos="5420" w:val="left"/>
          <w:tab w:leader="none" w:pos="6280" w:val="left"/>
          <w:tab w:leader="none" w:pos="7600" w:val="left"/>
          <w:tab w:leader="none" w:pos="8000" w:val="left"/>
          <w:tab w:leader="none" w:pos="9440" w:val="left"/>
          <w:tab w:leader="none" w:pos="10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u w:val="single" w:color="auto"/>
          <w:color w:val="auto"/>
        </w:rPr>
        <w:t>Vesting</w:t>
      </w:r>
      <w:r>
        <w:rPr>
          <w:sz w:val="20"/>
          <w:szCs w:val="20"/>
          <w:color w:val="auto"/>
        </w:rPr>
        <w:tab/>
      </w:r>
      <w:r>
        <w:rPr>
          <w:rFonts w:ascii="Times New Roman" w:cs="Times New Roman" w:eastAsia="Times New Roman" w:hAnsi="Times New Roman"/>
          <w:sz w:val="22"/>
          <w:szCs w:val="22"/>
          <w:u w:val="single" w:color="auto"/>
          <w:color w:val="auto"/>
        </w:rPr>
        <w:t>Acceleration</w:t>
        <w:tab/>
        <w:t>of</w:t>
        <w:tab/>
        <w:t>Service-based</w:t>
        <w:tab/>
        <w:t>Awards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Vesting</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acceleration of one hundred percent (100%) of any Service-based Awards that are outstanding and unvested as of the date of the Qualifying Termination.</w:t>
      </w:r>
    </w:p>
    <w:p>
      <w:pPr>
        <w:spacing w:after="0" w:line="178" w:lineRule="exact"/>
        <w:rPr>
          <w:sz w:val="20"/>
          <w:szCs w:val="20"/>
          <w:color w:val="auto"/>
        </w:rPr>
      </w:pPr>
    </w:p>
    <w:p>
      <w:pPr>
        <w:jc w:val="both"/>
        <w:ind w:firstLine="2592"/>
        <w:spacing w:after="0" w:line="247" w:lineRule="auto"/>
        <w:rPr>
          <w:sz w:val="20"/>
          <w:szCs w:val="20"/>
          <w:color w:val="auto"/>
        </w:rPr>
      </w:pPr>
      <w:r>
        <w:rPr>
          <w:rFonts w:ascii="Times New Roman" w:cs="Times New Roman" w:eastAsia="Times New Roman" w:hAnsi="Times New Roman"/>
          <w:sz w:val="21"/>
          <w:szCs w:val="21"/>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2"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Termination Other Than a Qualifying Termination</w:t>
      </w:r>
      <w:r>
        <w:rPr>
          <w:rFonts w:ascii="Times New Roman" w:cs="Times New Roman" w:eastAsia="Times New Roman" w:hAnsi="Times New Roman"/>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Non-duplication of Payment or Benefits</w:t>
      </w:r>
      <w:r>
        <w:rPr>
          <w:rFonts w:ascii="Times New Roman" w:cs="Times New Roman" w:eastAsia="Times New Roman" w:hAnsi="Times New Roman"/>
          <w:sz w:val="22"/>
          <w:szCs w:val="22"/>
          <w:color w:val="auto"/>
        </w:rPr>
        <w:t>. For purposes of clarity, in the event of a Qualifying Termination that occurs during the period within one (1) month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then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7" w:name="page538"/>
    <w:bookmarkEnd w:id="537"/>
    <w:p>
      <w:pPr>
        <w:jc w:val="both"/>
        <w:spacing w:after="0" w:line="258" w:lineRule="auto"/>
        <w:rPr>
          <w:sz w:val="20"/>
          <w:szCs w:val="20"/>
          <w:color w:val="auto"/>
        </w:rPr>
      </w:pPr>
      <w:r>
        <w:rPr>
          <w:rFonts w:ascii="Times New Roman" w:cs="Times New Roman" w:eastAsia="Times New Roman" w:hAnsi="Times New Roman"/>
          <w:sz w:val="22"/>
          <w:szCs w:val="22"/>
          <w:color w:val="auto"/>
        </w:rPr>
        <w:t>corresponding severance payments and benefits under this Agreement will be reduced by the amount of Other Benefits paid or provided to Executive.</w:t>
      </w:r>
    </w:p>
    <w:p>
      <w:pPr>
        <w:spacing w:after="0" w:line="158" w:lineRule="exact"/>
        <w:rPr>
          <w:sz w:val="20"/>
          <w:szCs w:val="20"/>
          <w:color w:val="auto"/>
        </w:rPr>
      </w:pPr>
    </w:p>
    <w:p>
      <w:pPr>
        <w:jc w:val="both"/>
        <w:ind w:firstLine="1727"/>
        <w:spacing w:after="0"/>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Death of Executive</w:t>
      </w:r>
      <w:r>
        <w:rPr>
          <w:rFonts w:ascii="Times New Roman" w:cs="Times New Roman" w:eastAsia="Times New Roman" w:hAnsi="Times New Roman"/>
          <w:sz w:val="22"/>
          <w:szCs w:val="22"/>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200" w:lineRule="exact"/>
        <w:rPr>
          <w:sz w:val="20"/>
          <w:szCs w:val="20"/>
          <w:color w:val="auto"/>
        </w:rPr>
      </w:pPr>
    </w:p>
    <w:p>
      <w:pPr>
        <w:spacing w:after="0" w:line="229"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Change in Control Vesting Acceleration</w:t>
      </w:r>
      <w:r>
        <w:rPr>
          <w:rFonts w:ascii="Times New Roman" w:cs="Times New Roman" w:eastAsia="Times New Roman" w:hAnsi="Times New Roman"/>
          <w:sz w:val="22"/>
          <w:szCs w:val="22"/>
          <w:color w:val="auto"/>
        </w:rPr>
        <w:t>. Notwithstanding anything to the contrary in this Agreement, in the event of a Change in Control in which the acquiring or succeeding corporation (or an affiliate thereof) does not assume or substitute for any of Executive’s Awards (or portions thereof) granted under the Company’s 2014 Equity Incentive Plan (the “</w:t>
      </w:r>
      <w:r>
        <w:rPr>
          <w:rFonts w:ascii="Times New Roman" w:cs="Times New Roman" w:eastAsia="Times New Roman" w:hAnsi="Times New Roman"/>
          <w:sz w:val="22"/>
          <w:szCs w:val="22"/>
          <w:u w:val="single" w:color="auto"/>
          <w:color w:val="auto"/>
        </w:rPr>
        <w:t>2014 Plan</w:t>
      </w:r>
      <w:r>
        <w:rPr>
          <w:rFonts w:ascii="Times New Roman" w:cs="Times New Roman" w:eastAsia="Times New Roman" w:hAnsi="Times New Roman"/>
          <w:sz w:val="22"/>
          <w:szCs w:val="22"/>
          <w:color w:val="auto"/>
        </w:rPr>
        <w:t>”), (a) Executive will fully vest in and have the right to exercise such outstanding Awards (or portions thereof) not assumed or substituted for, including shares as to which such Award would not otherwise be vested or exercisable, and (b) the Company will notify Executive in writing or electronically that any such Award that is an option (or its applicable portion) will be exercisable for a period of time determined by the administrator of the 2014 Plan in its sole discretion, and the option Award (or its applicable portion) will terminate upon the expiration of such period.</w:t>
      </w:r>
    </w:p>
    <w:p>
      <w:pPr>
        <w:spacing w:after="0" w:line="178" w:lineRule="exact"/>
        <w:rPr>
          <w:sz w:val="20"/>
          <w:szCs w:val="20"/>
          <w:color w:val="auto"/>
        </w:rPr>
      </w:pPr>
    </w:p>
    <w:p>
      <w:pPr>
        <w:jc w:val="both"/>
        <w:ind w:firstLine="872"/>
        <w:spacing w:after="0" w:line="244" w:lineRule="auto"/>
        <w:tabs>
          <w:tab w:leader="none" w:pos="2322"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73"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Separation Agreement and Release of Claims</w:t>
      </w:r>
      <w:r>
        <w:rPr>
          <w:rFonts w:ascii="Times New Roman" w:cs="Times New Roman" w:eastAsia="Times New Roman" w:hAnsi="Times New Roman"/>
          <w:sz w:val="22"/>
          <w:szCs w:val="22"/>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must become effective and irrevocable no later than the sixtieth (60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day following the date of the Qualifying Termination (the “</w:t>
      </w:r>
      <w:r>
        <w:rPr>
          <w:rFonts w:ascii="Times New Roman" w:cs="Times New Roman" w:eastAsia="Times New Roman" w:hAnsi="Times New Roman"/>
          <w:sz w:val="22"/>
          <w:szCs w:val="22"/>
          <w:u w:val="single" w:color="auto"/>
          <w:color w:val="auto"/>
        </w:rPr>
        <w:t>Release Deadline Date</w:t>
      </w:r>
      <w:r>
        <w:rPr>
          <w:rFonts w:ascii="Times New Roman" w:cs="Times New Roman" w:eastAsia="Times New Roman" w:hAnsi="Times New Roman"/>
          <w:sz w:val="22"/>
          <w:szCs w:val="22"/>
          <w:color w:val="auto"/>
        </w:rPr>
        <w:t>”). If the Release does not become effective and irrevocable by the Release Deadline Date, Executive will forfeit any right to severance payments or benefits under Section 3.</w:t>
      </w:r>
    </w:p>
    <w:p>
      <w:pPr>
        <w:spacing w:after="0" w:line="181"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Payment Timing</w:t>
      </w:r>
      <w:r>
        <w:rPr>
          <w:rFonts w:ascii="Times New Roman" w:cs="Times New Roman" w:eastAsia="Times New Roman" w:hAnsi="Times New Roman"/>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 Qualifying Termination will be paid on the later of (x) the first regularly scheduled payroll date of the Company following the date the Release becomes effective and irrevocable, or (y) the date of the Change in Control, in each case subject to any delay required by Section 5.4 below. Any Service-based Awards that are restricted stock units, performance shares, performance units, and/or similar full value awards (“</w:t>
      </w:r>
      <w:r>
        <w:rPr>
          <w:rFonts w:ascii="Times New Roman" w:cs="Times New Roman" w:eastAsia="Times New Roman" w:hAnsi="Times New Roman"/>
          <w:sz w:val="22"/>
          <w:szCs w:val="22"/>
          <w:u w:val="single" w:color="auto"/>
          <w:color w:val="auto"/>
        </w:rPr>
        <w:t>Full Value Awards</w:t>
      </w:r>
      <w:r>
        <w:rPr>
          <w:rFonts w:ascii="Times New Roman" w:cs="Times New Roman" w:eastAsia="Times New Roman" w:hAnsi="Times New Roman"/>
          <w:sz w:val="22"/>
          <w:szCs w:val="22"/>
          <w:color w:val="auto"/>
        </w:rPr>
        <w:t>”) that accelerate vesting under Section 3.2(d) will be settled, subject to any delay required by Section 5.4 below (or the terms of the Full Value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8" w:name="page539"/>
    <w:bookmarkEnd w:id="538"/>
    <w:p>
      <w:pPr>
        <w:jc w:val="both"/>
        <w:spacing w:after="0" w:line="253" w:lineRule="auto"/>
        <w:rPr>
          <w:sz w:val="20"/>
          <w:szCs w:val="20"/>
          <w:color w:val="auto"/>
        </w:rPr>
      </w:pPr>
      <w:r>
        <w:rPr>
          <w:rFonts w:ascii="Times New Roman" w:cs="Times New Roman" w:eastAsia="Times New Roman" w:hAnsi="Times New Roman"/>
          <w:sz w:val="21"/>
          <w:szCs w:val="21"/>
          <w:color w:val="auto"/>
        </w:rPr>
        <w:t>Award agreement or other Company plan, policy, or arrangement governing the settlement timing of the Full Value Award to the extent such terms specifically require any such delay in order to comply with the requirements of Section 409A, as applicable),</w:t>
      </w:r>
    </w:p>
    <w:p>
      <w:pPr>
        <w:spacing w:after="0" w:line="1" w:lineRule="exact"/>
        <w:rPr>
          <w:sz w:val="20"/>
          <w:szCs w:val="20"/>
          <w:color w:val="auto"/>
        </w:rPr>
      </w:pPr>
    </w:p>
    <w:p>
      <w:pPr>
        <w:jc w:val="both"/>
        <w:ind w:firstLine="8"/>
        <w:spacing w:after="0" w:line="235" w:lineRule="auto"/>
        <w:tabs>
          <w:tab w:leader="none" w:pos="297"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78"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COBRA Severance Limitations</w:t>
      </w:r>
      <w:r>
        <w:rPr>
          <w:rFonts w:ascii="Times New Roman" w:cs="Times New Roman" w:eastAsia="Times New Roman" w:hAnsi="Times New Roman"/>
          <w:sz w:val="22"/>
          <w:szCs w:val="22"/>
          <w:color w:val="auto"/>
        </w:rPr>
        <w:t>. If the Company determines in its sole discretion that it cannot provide the COBRA Severance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below in this Section 5.3),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Times New Roman" w:cs="Times New Roman" w:eastAsia="Times New Roman" w:hAnsi="Times New Roman"/>
          <w:sz w:val="22"/>
          <w:szCs w:val="22"/>
          <w:u w:val="single" w:color="auto"/>
          <w:color w:val="auto"/>
        </w:rPr>
        <w:t>COBRA Replacement Payment</w:t>
      </w:r>
      <w:r>
        <w:rPr>
          <w:rFonts w:ascii="Times New Roman" w:cs="Times New Roman" w:eastAsia="Times New Roman" w:hAnsi="Times New Roman"/>
          <w:sz w:val="22"/>
          <w:szCs w:val="22"/>
          <w:color w:val="auto"/>
        </w:rPr>
        <w:t>”),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(i) of Section (b) or Section (c), as applicable. For the avoidance of doubt, the COBRA Replacement Payments may be used for any purpose, including, but not limited to continuation coverage under COBRA, and will be subject to any applicable withholdings. Notwithstanding the foregoing, any COBRA Replacement Payments that otherwise would be payable prior to the date that the Release becomes effective and irrevocable shall be paid in a single lump sum on the first regularly scheduled payroll date of the Company following the date the Release becomes effective and irrevocable, and any remaining COBRA Replacement Payments will be paid in accordance with the schedule described further above in this Section 5.3, in each case subject to any delay required by Section 5.4 below).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84"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u w:val="single" w:color="auto"/>
          <w:color w:val="auto"/>
        </w:rPr>
        <w:t>Deferred Payments</w:t>
      </w:r>
      <w:r>
        <w:rPr>
          <w:rFonts w:ascii="Times New Roman" w:cs="Times New Roman" w:eastAsia="Times New Roman" w:hAnsi="Times New Roman"/>
          <w:sz w:val="22"/>
          <w:szCs w:val="22"/>
          <w:color w:val="auto"/>
        </w:rPr>
        <w:t>”) will be paid or otherwise provided until Executive has a “separation from service” within the meaning of Section 409A. To the extent required to be exempt from or comply with Section 409A, references to the termination of Executive’s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9" w:name="page540"/>
    <w:bookmarkEnd w:id="539"/>
    <w:p>
      <w:pPr>
        <w:ind w:right="20"/>
        <w:spacing w:after="0" w:line="258" w:lineRule="auto"/>
        <w:rPr>
          <w:sz w:val="20"/>
          <w:szCs w:val="20"/>
          <w:color w:val="auto"/>
        </w:rPr>
      </w:pPr>
      <w:r>
        <w:rPr>
          <w:rFonts w:ascii="Times New Roman" w:cs="Times New Roman" w:eastAsia="Times New Roman" w:hAnsi="Times New Roman"/>
          <w:sz w:val="22"/>
          <w:szCs w:val="22"/>
          <w:color w:val="auto"/>
        </w:rPr>
        <w:t>employment or similar phrases used in this Agreement will mean Executive’s “separation from service” within the meaning of Section 409A.</w:t>
      </w:r>
    </w:p>
    <w:p>
      <w:pPr>
        <w:spacing w:after="0" w:line="158" w:lineRule="exact"/>
        <w:rPr>
          <w:sz w:val="20"/>
          <w:szCs w:val="20"/>
          <w:color w:val="auto"/>
        </w:rPr>
      </w:pPr>
    </w:p>
    <w:p>
      <w:pPr>
        <w:jc w:val="both"/>
        <w:ind w:firstLine="2600"/>
        <w:spacing w:after="0" w:line="239" w:lineRule="auto"/>
        <w:tabs>
          <w:tab w:leader="none" w:pos="348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80" w:lineRule="exact"/>
        <w:rPr>
          <w:rFonts w:ascii="Times New Roman" w:cs="Times New Roman" w:eastAsia="Times New Roman" w:hAnsi="Times New Roman"/>
          <w:sz w:val="22"/>
          <w:szCs w:val="22"/>
          <w:color w:val="auto"/>
        </w:rPr>
      </w:pPr>
    </w:p>
    <w:p>
      <w:pPr>
        <w:jc w:val="both"/>
        <w:ind w:firstLine="2600"/>
        <w:spacing w:after="0" w:line="233" w:lineRule="auto"/>
        <w:tabs>
          <w:tab w:leader="none" w:pos="3492"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7" w:lineRule="exact"/>
        <w:rPr>
          <w:rFonts w:ascii="Times New Roman" w:cs="Times New Roman" w:eastAsia="Times New Roman" w:hAnsi="Times New Roman"/>
          <w:sz w:val="22"/>
          <w:szCs w:val="22"/>
          <w:color w:val="auto"/>
        </w:rPr>
      </w:pPr>
    </w:p>
    <w:p>
      <w:pPr>
        <w:jc w:val="both"/>
        <w:ind w:firstLine="2600"/>
        <w:spacing w:after="0" w:line="234" w:lineRule="auto"/>
        <w:tabs>
          <w:tab w:leader="none" w:pos="348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83"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Reduction of Severance Benefits</w:t>
      </w:r>
      <w:r>
        <w:rPr>
          <w:rFonts w:ascii="Times New Roman" w:cs="Times New Roman" w:eastAsia="Times New Roman" w:hAnsi="Times New Roman"/>
          <w:sz w:val="22"/>
          <w:szCs w:val="22"/>
          <w:color w:val="auto"/>
        </w:rPr>
        <w:t>. If any payment or benefit that Executive would receive from the Company or any other party whether in connection with the provisions in this Agreement or otherwise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0" w:name="page541"/>
    <w:bookmarkEnd w:id="540"/>
    <w:p>
      <w:pPr>
        <w:jc w:val="both"/>
        <w:spacing w:after="0" w:line="235" w:lineRule="auto"/>
        <w:rPr>
          <w:sz w:val="20"/>
          <w:szCs w:val="20"/>
          <w:color w:val="auto"/>
        </w:rPr>
      </w:pPr>
      <w:r>
        <w:rPr>
          <w:rFonts w:ascii="Times New Roman" w:cs="Times New Roman" w:eastAsia="Times New Roman" w:hAnsi="Times New Roman"/>
          <w:sz w:val="22"/>
          <w:szCs w:val="22"/>
          <w:color w:val="auto"/>
        </w:rPr>
        <w:t>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w:t>
      </w:r>
    </w:p>
    <w:p>
      <w:pPr>
        <w:jc w:val="both"/>
        <w:ind w:firstLine="8"/>
        <w:spacing w:after="0" w:line="232" w:lineRule="auto"/>
        <w:tabs>
          <w:tab w:leader="none" w:pos="346"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77"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Determination of Excise Tax Liability</w:t>
      </w:r>
      <w:r>
        <w:rPr>
          <w:rFonts w:ascii="Times New Roman" w:cs="Times New Roman" w:eastAsia="Times New Roman" w:hAnsi="Times New Roman"/>
          <w:sz w:val="22"/>
          <w:szCs w:val="22"/>
          <w:color w:val="auto"/>
        </w:rPr>
        <w:t>. Unless the Company and Executive otherwise agree in writing, any determinations required under this Section 6 will be made in writing by a nationally recognized accounting or valuation firm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79" w:lineRule="exact"/>
        <w:rPr>
          <w:sz w:val="20"/>
          <w:szCs w:val="20"/>
          <w:color w:val="auto"/>
        </w:rPr>
      </w:pPr>
    </w:p>
    <w:p>
      <w:pPr>
        <w:ind w:left="2320" w:hanging="1448"/>
        <w:spacing w:after="0"/>
        <w:tabs>
          <w:tab w:leader="none" w:pos="232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7.1.</w:t>
            </w:r>
          </w:p>
        </w:tc>
        <w:tc>
          <w:tcPr>
            <w:tcW w:w="766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w w:val="97"/>
              </w:rPr>
              <w:t>“Award” means stock options and other equity awards covering shares of Company</w:t>
            </w:r>
          </w:p>
        </w:tc>
      </w:tr>
      <w:tr>
        <w:trPr>
          <w:trHeight w:val="275"/>
        </w:trPr>
        <w:tc>
          <w:tcPr>
            <w:tcW w:w="35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7"/>
              </w:rPr>
              <w:t>common stock granted to Executive.</w:t>
            </w:r>
          </w:p>
        </w:tc>
        <w:tc>
          <w:tcPr>
            <w:tcW w:w="5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580" w:type="dxa"/>
            <w:vAlign w:val="bottom"/>
          </w:tcPr>
          <w:p>
            <w:pPr>
              <w:spacing w:after="0"/>
              <w:rPr>
                <w:sz w:val="23"/>
                <w:szCs w:val="23"/>
                <w:color w:val="auto"/>
              </w:rPr>
            </w:pPr>
          </w:p>
        </w:tc>
      </w:tr>
      <w:tr>
        <w:trPr>
          <w:trHeight w:val="407"/>
        </w:trPr>
        <w:tc>
          <w:tcPr>
            <w:tcW w:w="358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7.2.</w:t>
            </w:r>
          </w:p>
        </w:tc>
        <w:tc>
          <w:tcPr>
            <w:tcW w:w="766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rPr>
              <w:t>“Board” means the Company’s Board of Directors.</w:t>
            </w:r>
          </w:p>
        </w:tc>
      </w:tr>
      <w:tr>
        <w:trPr>
          <w:trHeight w:val="20"/>
        </w:trPr>
        <w:tc>
          <w:tcPr>
            <w:tcW w:w="3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r>
      <w:tr>
        <w:trPr>
          <w:trHeight w:val="439"/>
        </w:trPr>
        <w:tc>
          <w:tcPr>
            <w:tcW w:w="358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7.3.</w:t>
            </w:r>
          </w:p>
        </w:tc>
        <w:tc>
          <w:tcPr>
            <w:tcW w:w="7660" w:type="dxa"/>
            <w:vAlign w:val="bottom"/>
            <w:gridSpan w:val="5"/>
          </w:tcPr>
          <w:p>
            <w:pPr>
              <w:ind w:left="420"/>
              <w:spacing w:after="0"/>
              <w:rPr>
                <w:sz w:val="20"/>
                <w:szCs w:val="20"/>
                <w:color w:val="auto"/>
              </w:rPr>
            </w:pPr>
            <w:r>
              <w:rPr>
                <w:rFonts w:ascii="Times New Roman" w:cs="Times New Roman" w:eastAsia="Times New Roman" w:hAnsi="Times New Roman"/>
                <w:sz w:val="22"/>
                <w:szCs w:val="22"/>
                <w:color w:val="auto"/>
              </w:rPr>
              <w:t>“Cause” means Executive’s:  (a) indictment or conviction of any felony or any</w:t>
            </w:r>
          </w:p>
        </w:tc>
      </w:tr>
      <w:tr>
        <w:trPr>
          <w:trHeight w:val="20"/>
        </w:trPr>
        <w:tc>
          <w:tcPr>
            <w:tcW w:w="3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crime involving dishonesty or moral turpitude; (b) 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1" w:name="page542"/>
    <w:bookmarkEnd w:id="541"/>
    <w:p>
      <w:pPr>
        <w:jc w:val="both"/>
        <w:spacing w:after="0" w:line="239" w:lineRule="auto"/>
        <w:rPr>
          <w:sz w:val="20"/>
          <w:szCs w:val="20"/>
          <w:color w:val="auto"/>
        </w:rPr>
      </w:pPr>
      <w:r>
        <w:rPr>
          <w:rFonts w:ascii="Times New Roman" w:cs="Times New Roman" w:eastAsia="Times New Roman" w:hAnsi="Times New Roman"/>
          <w:sz w:val="22"/>
          <w:szCs w:val="22"/>
          <w:color w:val="auto"/>
        </w:rPr>
        <w:t>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7.4.</w:t>
            </w:r>
          </w:p>
        </w:tc>
        <w:tc>
          <w:tcPr>
            <w:tcW w:w="806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“Change in Control” means the first occurrence of any of the following events on</w:t>
            </w:r>
          </w:p>
        </w:tc>
      </w:tr>
      <w:tr>
        <w:trPr>
          <w:trHeight w:val="275"/>
        </w:trPr>
        <w:tc>
          <w:tcPr>
            <w:tcW w:w="31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w w:val="97"/>
              </w:rPr>
              <w:t>or after the Effective Date:</w:t>
            </w:r>
          </w:p>
        </w:tc>
        <w:tc>
          <w:tcPr>
            <w:tcW w:w="94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5500" w:type="dxa"/>
            <w:vAlign w:val="bottom"/>
          </w:tcPr>
          <w:p>
            <w:pPr>
              <w:spacing w:after="0"/>
              <w:rPr>
                <w:sz w:val="23"/>
                <w:szCs w:val="23"/>
                <w:color w:val="auto"/>
              </w:rPr>
            </w:pPr>
          </w:p>
        </w:tc>
      </w:tr>
    </w:tbl>
    <w:p>
      <w:pPr>
        <w:spacing w:after="0" w:line="177" w:lineRule="exact"/>
        <w:rPr>
          <w:sz w:val="20"/>
          <w:szCs w:val="20"/>
          <w:color w:val="auto"/>
        </w:rPr>
      </w:pPr>
    </w:p>
    <w:p>
      <w:pPr>
        <w:jc w:val="both"/>
        <w:ind w:firstLine="2600"/>
        <w:spacing w:after="0" w:line="233" w:lineRule="auto"/>
        <w:tabs>
          <w:tab w:leader="none" w:pos="3480"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rFonts w:ascii="Times New Roman" w:cs="Times New Roman" w:eastAsia="Times New Roman" w:hAnsi="Times New Roman"/>
          <w:sz w:val="22"/>
          <w:szCs w:val="22"/>
          <w:color w:val="auto"/>
        </w:rPr>
      </w:pPr>
    </w:p>
    <w:p>
      <w:pPr>
        <w:jc w:val="both"/>
        <w:ind w:firstLine="2600"/>
        <w:spacing w:after="0" w:line="235" w:lineRule="auto"/>
        <w:tabs>
          <w:tab w:leader="none" w:pos="3492"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22"/>
          <w:szCs w:val="22"/>
          <w:color w:val="auto"/>
        </w:rPr>
      </w:pPr>
    </w:p>
    <w:p>
      <w:pPr>
        <w:jc w:val="both"/>
        <w:ind w:firstLine="2600"/>
        <w:spacing w:after="0" w:line="245" w:lineRule="auto"/>
        <w:tabs>
          <w:tab w:leader="none" w:pos="3480" w:val="left"/>
        </w:tabs>
        <w:numPr>
          <w:ilvl w:val="1"/>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a Substantial Portion of the Company’s Assets</w:t>
      </w:r>
      <w:r>
        <w:rPr>
          <w:rFonts w:ascii="Times New Roman" w:cs="Times New Roman" w:eastAsia="Times New Roman" w:hAnsi="Times New Roman"/>
          <w:sz w:val="21"/>
          <w:szCs w:val="21"/>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spacing w:after="0" w:line="2"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2" w:name="page543"/>
    <w:bookmarkEnd w:id="542"/>
    <w:p>
      <w:pPr>
        <w:jc w:val="both"/>
        <w:spacing w:after="0" w:line="235" w:lineRule="auto"/>
        <w:rPr>
          <w:sz w:val="20"/>
          <w:szCs w:val="20"/>
          <w:color w:val="auto"/>
        </w:rPr>
      </w:pPr>
      <w:r>
        <w:rPr>
          <w:rFonts w:ascii="Times New Roman" w:cs="Times New Roman" w:eastAsia="Times New Roman" w:hAnsi="Times New Roman"/>
          <w:sz w:val="22"/>
          <w:szCs w:val="22"/>
          <w:color w:val="auto"/>
        </w:rPr>
        <w:t>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78" w:lineRule="exact"/>
        <w:rPr>
          <w:sz w:val="20"/>
          <w:szCs w:val="20"/>
          <w:color w:val="auto"/>
        </w:rPr>
      </w:pPr>
    </w:p>
    <w:p>
      <w:pPr>
        <w:jc w:val="both"/>
        <w:ind w:firstLine="2592"/>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2592"/>
        <w:spacing w:after="0" w:line="23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7"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7.5.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period beginning on the date one (1) month prior to a Change in Control and ending on (and inclusive of) the date that is the one (1) year anniversary of a Change in Control.</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7.6.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7.7.</w:t>
            </w:r>
          </w:p>
        </w:tc>
        <w:tc>
          <w:tcPr>
            <w:tcW w:w="8160" w:type="dxa"/>
            <w:vAlign w:val="bottom"/>
            <w:gridSpan w:val="7"/>
          </w:tcPr>
          <w:p>
            <w:pPr>
              <w:ind w:left="920"/>
              <w:spacing w:after="0"/>
              <w:rPr>
                <w:sz w:val="20"/>
                <w:szCs w:val="20"/>
                <w:color w:val="auto"/>
              </w:rPr>
            </w:pPr>
            <w:r>
              <w:rPr>
                <w:rFonts w:ascii="Times New Roman" w:cs="Times New Roman" w:eastAsia="Times New Roman" w:hAnsi="Times New Roman"/>
                <w:sz w:val="22"/>
                <w:szCs w:val="22"/>
                <w:color w:val="auto"/>
                <w:w w:val="98"/>
              </w:rPr>
              <w:t>“Confidentiality Agreement” means Executive’s At-will Employment, Confidential</w:t>
            </w:r>
          </w:p>
        </w:tc>
      </w:tr>
      <w:tr>
        <w:trPr>
          <w:trHeight w:val="20"/>
        </w:trPr>
        <w:tc>
          <w:tcPr>
            <w:tcW w:w="4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76"/>
        </w:trPr>
        <w:tc>
          <w:tcPr>
            <w:tcW w:w="112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Information, Invention Assignment, and Arbitration Agreement entered into with the Company dated September 8, 2020.</w:t>
            </w:r>
          </w:p>
        </w:tc>
      </w:tr>
      <w:tr>
        <w:trPr>
          <w:trHeight w:val="406"/>
        </w:trPr>
        <w:tc>
          <w:tcPr>
            <w:tcW w:w="308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7.8.</w:t>
            </w:r>
          </w:p>
        </w:tc>
        <w:tc>
          <w:tcPr>
            <w:tcW w:w="8160" w:type="dxa"/>
            <w:vAlign w:val="bottom"/>
            <w:gridSpan w:val="7"/>
          </w:tcPr>
          <w:p>
            <w:pPr>
              <w:ind w:left="920"/>
              <w:spacing w:after="0"/>
              <w:rPr>
                <w:sz w:val="20"/>
                <w:szCs w:val="20"/>
                <w:color w:val="auto"/>
              </w:rPr>
            </w:pPr>
            <w:r>
              <w:rPr>
                <w:rFonts w:ascii="Times New Roman" w:cs="Times New Roman" w:eastAsia="Times New Roman" w:hAnsi="Times New Roman"/>
                <w:sz w:val="22"/>
                <w:szCs w:val="22"/>
                <w:color w:val="auto"/>
              </w:rPr>
              <w:t>“Director” means a member of the Board.</w:t>
            </w:r>
          </w:p>
        </w:tc>
      </w:tr>
      <w:tr>
        <w:trPr>
          <w:trHeight w:val="20"/>
        </w:trPr>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r>
      <w:tr>
        <w:trPr>
          <w:trHeight w:val="439"/>
        </w:trPr>
        <w:tc>
          <w:tcPr>
            <w:tcW w:w="308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7.9.</w:t>
            </w:r>
          </w:p>
        </w:tc>
        <w:tc>
          <w:tcPr>
            <w:tcW w:w="8160" w:type="dxa"/>
            <w:vAlign w:val="bottom"/>
            <w:gridSpan w:val="7"/>
          </w:tcPr>
          <w:p>
            <w:pPr>
              <w:ind w:left="920"/>
              <w:spacing w:after="0"/>
              <w:rPr>
                <w:sz w:val="20"/>
                <w:szCs w:val="20"/>
                <w:color w:val="auto"/>
              </w:rPr>
            </w:pPr>
            <w:r>
              <w:rPr>
                <w:rFonts w:ascii="Times New Roman" w:cs="Times New Roman" w:eastAsia="Times New Roman" w:hAnsi="Times New Roman"/>
                <w:sz w:val="22"/>
                <w:szCs w:val="22"/>
                <w:color w:val="auto"/>
                <w:w w:val="99"/>
              </w:rPr>
              <w:t>“Disability” means total and permanent disability as defined in Code Section 22(e)</w:t>
            </w:r>
          </w:p>
        </w:tc>
      </w:tr>
      <w:tr>
        <w:trPr>
          <w:trHeight w:val="275"/>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10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20" w:type="dxa"/>
            <w:vAlign w:val="bottom"/>
          </w:tcPr>
          <w:p>
            <w:pPr>
              <w:spacing w:after="0"/>
              <w:rPr>
                <w:sz w:val="23"/>
                <w:szCs w:val="23"/>
                <w:color w:val="auto"/>
              </w:rPr>
            </w:pPr>
          </w:p>
        </w:tc>
      </w:tr>
      <w:tr>
        <w:trPr>
          <w:trHeight w:val="407"/>
        </w:trPr>
        <w:tc>
          <w:tcPr>
            <w:tcW w:w="308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7.10.</w:t>
            </w:r>
          </w:p>
        </w:tc>
        <w:tc>
          <w:tcPr>
            <w:tcW w:w="1020" w:type="dxa"/>
            <w:vAlign w:val="bottom"/>
          </w:tcPr>
          <w:p>
            <w:pPr>
              <w:spacing w:after="0"/>
              <w:rPr>
                <w:sz w:val="24"/>
                <w:szCs w:val="24"/>
                <w:color w:val="auto"/>
              </w:rPr>
            </w:pPr>
          </w:p>
        </w:tc>
        <w:tc>
          <w:tcPr>
            <w:tcW w:w="714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w w:val="99"/>
              </w:rPr>
              <w:t>“Good Reason” means Executive’s termination of Executive’s employment with</w:t>
            </w:r>
          </w:p>
        </w:tc>
      </w:tr>
      <w:tr>
        <w:trPr>
          <w:trHeight w:val="20"/>
        </w:trPr>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 (b) the requirement that Executive change Executive’s principal office to a facility that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3" w:name="page544"/>
    <w:bookmarkEnd w:id="543"/>
    <w:p>
      <w:pPr>
        <w:jc w:val="both"/>
        <w:spacing w:after="0" w:line="246" w:lineRule="auto"/>
        <w:rPr>
          <w:sz w:val="20"/>
          <w:szCs w:val="20"/>
          <w:color w:val="auto"/>
        </w:rPr>
      </w:pPr>
      <w:r>
        <w:rPr>
          <w:rFonts w:ascii="Times New Roman" w:cs="Times New Roman" w:eastAsia="Times New Roman" w:hAnsi="Times New Roman"/>
          <w:sz w:val="21"/>
          <w:szCs w:val="21"/>
          <w:color w:val="auto"/>
        </w:rPr>
        <w:t>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 to which Executive is entitled immediately prior to such reduction (other than (x) in connection with a general decrease in the annual base salary or Employee Benefits of all similarly situated employees, and</w:t>
      </w:r>
    </w:p>
    <w:p>
      <w:pPr>
        <w:spacing w:after="0" w:line="1" w:lineRule="exact"/>
        <w:rPr>
          <w:sz w:val="20"/>
          <w:szCs w:val="20"/>
          <w:color w:val="auto"/>
        </w:rPr>
      </w:pPr>
    </w:p>
    <w:p>
      <w:pPr>
        <w:jc w:val="both"/>
        <w:ind w:firstLine="8"/>
        <w:spacing w:after="0" w:line="245" w:lineRule="exact"/>
        <w:tabs>
          <w:tab w:leader="none" w:pos="343"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Change in Control, to the extent necessary to make Executive’s annual base salary or Employee Benefits commensurate with those of other employees of the Company or its successor entity or parent entity who are similarly situated with Executive following such Change in Control); provided, however, that Executive must provide written notice to the Board of the condition that could constitute a “Good Reason” event within ninety (90) days following the initial existence of such condition and such condition must not have been remedied by the Company within thirty (30) days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of such written notice. To the extent Executive’s primary work location is not the Company’s corporate offices due to a shelter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place order, quarantine order, or similar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from</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7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7.11.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Executive’s employment with the Company either (a) by the Company without Cause and other than due to Executive’s death or Disability, or (b) by Executive for Good Reason.</w:t>
      </w:r>
    </w:p>
    <w:p>
      <w:pPr>
        <w:spacing w:after="0" w:line="200" w:lineRule="exact"/>
        <w:rPr>
          <w:sz w:val="20"/>
          <w:szCs w:val="20"/>
          <w:color w:val="auto"/>
        </w:rPr>
      </w:pPr>
    </w:p>
    <w:p>
      <w:pPr>
        <w:spacing w:after="0" w:line="22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7.12.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7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2"/>
          <w:szCs w:val="22"/>
          <w:color w:val="auto"/>
        </w:rPr>
        <w:t>7.13.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Treasury Regulations and guidance thereunder, and any applicable state law equivalent, as each may be promulgated, amended or modified from time to time.</w:t>
      </w:r>
    </w:p>
    <w:p>
      <w:pPr>
        <w:spacing w:after="0" w:line="200" w:lineRule="exact"/>
        <w:rPr>
          <w:sz w:val="20"/>
          <w:szCs w:val="20"/>
          <w:color w:val="auto"/>
        </w:rPr>
      </w:pPr>
    </w:p>
    <w:p>
      <w:pPr>
        <w:spacing w:after="0" w:line="22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7.14. “</w:t>
      </w:r>
      <w:r>
        <w:rPr>
          <w:rFonts w:ascii="Times New Roman" w:cs="Times New Roman" w:eastAsia="Times New Roman" w:hAnsi="Times New Roman"/>
          <w:sz w:val="22"/>
          <w:szCs w:val="22"/>
          <w:u w:val="single" w:color="auto"/>
          <w:color w:val="auto"/>
        </w:rPr>
        <w:t>Service-based Awards</w:t>
      </w:r>
      <w:r>
        <w:rPr>
          <w:rFonts w:ascii="Times New Roman" w:cs="Times New Roman" w:eastAsia="Times New Roman" w:hAnsi="Times New Roman"/>
          <w:sz w:val="22"/>
          <w:szCs w:val="22"/>
          <w:color w:val="auto"/>
        </w:rPr>
        <w:t xml:space="preserve"> ”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7.15.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4" w:name="page545"/>
    <w:bookmarkEnd w:id="544"/>
    <w:p>
      <w:pPr>
        <w:jc w:val="both"/>
        <w:ind w:firstLine="872"/>
        <w:spacing w:after="0" w:line="235" w:lineRule="auto"/>
        <w:tabs>
          <w:tab w:leader="none" w:pos="2322"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8" w:lineRule="exact"/>
        <w:rPr>
          <w:rFonts w:ascii="Times New Roman" w:cs="Times New Roman" w:eastAsia="Times New Roman" w:hAnsi="Times New Roman"/>
          <w:sz w:val="22"/>
          <w:szCs w:val="22"/>
          <w:color w:val="auto"/>
        </w:rPr>
      </w:pPr>
    </w:p>
    <w:p>
      <w:pPr>
        <w:ind w:left="2320" w:hanging="1448"/>
        <w:spacing w:after="0"/>
        <w:tabs>
          <w:tab w:leader="none" w:pos="232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4000 Mason Road, Suite 300</w:t>
      </w:r>
    </w:p>
    <w:p>
      <w:pPr>
        <w:ind w:left="2600"/>
        <w:spacing w:after="0" w:line="230" w:lineRule="auto"/>
        <w:rPr>
          <w:sz w:val="20"/>
          <w:szCs w:val="20"/>
          <w:color w:val="auto"/>
        </w:rPr>
      </w:pPr>
      <w:r>
        <w:rPr>
          <w:rFonts w:ascii="Times New Roman" w:cs="Times New Roman" w:eastAsia="Times New Roman" w:hAnsi="Times New Roman"/>
          <w:sz w:val="22"/>
          <w:szCs w:val="22"/>
          <w:color w:val="auto"/>
        </w:rPr>
        <w:t>Seattle, WA 98195</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82"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w:t>
      </w:r>
    </w:p>
    <w:p>
      <w:pPr>
        <w:spacing w:after="0" w:line="2" w:lineRule="exact"/>
        <w:rPr>
          <w:sz w:val="20"/>
          <w:szCs w:val="20"/>
          <w:color w:val="auto"/>
        </w:rPr>
      </w:pPr>
    </w:p>
    <w:p>
      <w:pPr>
        <w:ind w:left="320" w:hanging="312"/>
        <w:spacing w:after="0"/>
        <w:tabs>
          <w:tab w:leader="none" w:pos="32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end of any applicable cure period).</w:t>
      </w:r>
    </w:p>
    <w:p>
      <w:pPr>
        <w:spacing w:after="0" w:line="182" w:lineRule="exact"/>
        <w:rPr>
          <w:rFonts w:ascii="Times New Roman" w:cs="Times New Roman" w:eastAsia="Times New Roman" w:hAnsi="Times New Roman"/>
          <w:sz w:val="22"/>
          <w:szCs w:val="22"/>
          <w:color w:val="auto"/>
        </w:rPr>
      </w:pPr>
    </w:p>
    <w:p>
      <w:pPr>
        <w:jc w:val="both"/>
        <w:ind w:firstLine="872"/>
        <w:spacing w:after="0" w:line="239" w:lineRule="auto"/>
        <w:tabs>
          <w:tab w:leader="none" w:pos="2430"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0" w:lineRule="exact"/>
        <w:rPr>
          <w:rFonts w:ascii="Times New Roman" w:cs="Times New Roman" w:eastAsia="Times New Roman" w:hAnsi="Times New Roman"/>
          <w:sz w:val="22"/>
          <w:szCs w:val="22"/>
          <w:color w:val="auto"/>
        </w:rPr>
      </w:pPr>
    </w:p>
    <w:p>
      <w:pPr>
        <w:ind w:left="2420" w:hanging="1548"/>
        <w:spacing w:after="0"/>
        <w:tabs>
          <w:tab w:leader="none" w:pos="2420"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5" w:name="page546"/>
    <w:bookmarkEnd w:id="545"/>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5.4 and 6.</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rPr>
              <w:t>11.3.</w:t>
            </w:r>
          </w:p>
        </w:tc>
        <w:tc>
          <w:tcPr>
            <w:tcW w:w="71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Headings. Headings are provided herein for convenience only, and will not serve</w:t>
            </w:r>
          </w:p>
        </w:tc>
      </w:tr>
      <w:tr>
        <w:trPr>
          <w:trHeight w:val="20"/>
        </w:trPr>
        <w:tc>
          <w:tcPr>
            <w:tcW w:w="4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76"/>
        </w:trPr>
        <w:tc>
          <w:tcPr>
            <w:tcW w:w="1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as a basis for interpretation or construction of this Agreement.</w:t>
            </w:r>
          </w:p>
        </w:tc>
      </w:tr>
      <w:tr>
        <w:trPr>
          <w:trHeight w:val="406"/>
        </w:trPr>
        <w:tc>
          <w:tcPr>
            <w:tcW w:w="410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rPr>
              <w:t>11.4.</w:t>
            </w:r>
          </w:p>
        </w:tc>
        <w:tc>
          <w:tcPr>
            <w:tcW w:w="71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Entire Agreement. This Agreement, together with the Confidentiality Agreement,</w:t>
            </w:r>
          </w:p>
        </w:tc>
      </w:tr>
      <w:tr>
        <w:trPr>
          <w:trHeight w:val="20"/>
        </w:trPr>
        <w:tc>
          <w:tcPr>
            <w:tcW w:w="4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Executive’s confirmatory employment letter with the Company dated September 8, 2020, and the Company’s 2014 Equity Incentive Plan and award agreements thereunder governing Executive’s outstanding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80" w:lineRule="exact"/>
        <w:rPr>
          <w:sz w:val="20"/>
          <w:szCs w:val="20"/>
          <w:color w:val="auto"/>
        </w:rPr>
      </w:pPr>
    </w:p>
    <w:p>
      <w:pPr>
        <w:jc w:val="both"/>
        <w:ind w:firstLine="1727"/>
        <w:spacing w:after="0" w:line="248" w:lineRule="exact"/>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taxes or other required withholdings and payroll deductions (“</w:t>
      </w:r>
      <w:r>
        <w:rPr>
          <w:rFonts w:ascii="Times New Roman" w:cs="Times New Roman" w:eastAsia="Times New Roman" w:hAnsi="Times New Roman"/>
          <w:sz w:val="22"/>
          <w:szCs w:val="22"/>
          <w:u w:val="single" w:color="auto"/>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7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6" w:name="page547"/>
    <w:bookmarkEnd w:id="546"/>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4946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47" w:name="page548"/>
    <w:bookmarkEnd w:id="547"/>
    <w:p>
      <w:pPr>
        <w:ind w:firstLine="864"/>
        <w:spacing w:after="0" w:line="258" w:lineRule="auto"/>
        <w:rPr>
          <w:sz w:val="20"/>
          <w:szCs w:val="20"/>
          <w:color w:val="auto"/>
        </w:rPr>
      </w:pPr>
      <w:r>
        <w:rPr>
          <w:rFonts w:ascii="Times New Roman" w:cs="Times New Roman" w:eastAsia="Times New Roman" w:hAnsi="Times New Roman"/>
          <w:sz w:val="22"/>
          <w:szCs w:val="22"/>
          <w:color w:val="auto"/>
        </w:rPr>
        <w:t>By her, his, or its signature below, each of the parties signifies its acceptance of the terms of this Agreement, in the case of the Company by its duly authorized officer.</w:t>
      </w:r>
    </w:p>
    <w:p>
      <w:pPr>
        <w:spacing w:after="0" w:line="397"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2"/>
          <w:szCs w:val="22"/>
          <w:b w:val="1"/>
          <w:bCs w:val="1"/>
          <w:color w:val="auto"/>
        </w:rPr>
        <w:t>ATHIRA PHARMA, INC.</w:t>
      </w:r>
    </w:p>
    <w:p>
      <w:pPr>
        <w:spacing w:after="0" w:line="200" w:lineRule="exact"/>
        <w:rPr>
          <w:sz w:val="20"/>
          <w:szCs w:val="20"/>
          <w:color w:val="auto"/>
        </w:rPr>
      </w:pPr>
    </w:p>
    <w:p>
      <w:pPr>
        <w:spacing w:after="0" w:line="226" w:lineRule="exact"/>
        <w:rPr>
          <w:sz w:val="20"/>
          <w:szCs w:val="20"/>
          <w:color w:val="auto"/>
        </w:rPr>
      </w:pPr>
    </w:p>
    <w:p>
      <w:pPr>
        <w:ind w:left="6060"/>
        <w:spacing w:after="0"/>
        <w:tabs>
          <w:tab w:leader="none" w:pos="70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Leen Kawas</w:t>
      </w:r>
    </w:p>
    <w:p>
      <w:pPr>
        <w:spacing w:after="0" w:line="3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CEO</w:t>
      </w:r>
    </w:p>
    <w:p>
      <w:pPr>
        <w:spacing w:after="0" w:line="3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September 8, 2020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2"/>
          <w:szCs w:val="22"/>
          <w:u w:val="single" w:color="auto"/>
          <w:color w:val="auto"/>
        </w:rPr>
        <w:t>/s/ Glenna Mileson</w:t>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September 8, 2020</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544" w:right="359" w:bottom="1440" w:gutter="0" w:footer="0" w:header="0"/>
        </w:sectPr>
      </w:pPr>
    </w:p>
    <w:bookmarkStart w:id="548" w:name="page549"/>
    <w:bookmarkEnd w:id="548"/>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720" w:type="dxa"/>
            <w:vAlign w:val="bottom"/>
          </w:tcPr>
          <w:p>
            <w:pPr>
              <w:spacing w:after="0"/>
              <w:rPr>
                <w:sz w:val="24"/>
                <w:szCs w:val="24"/>
                <w:color w:val="auto"/>
              </w:rPr>
            </w:pPr>
          </w:p>
        </w:tc>
        <w:tc>
          <w:tcPr>
            <w:tcW w:w="7500" w:type="dxa"/>
            <w:vAlign w:val="bottom"/>
            <w:gridSpan w:val="3"/>
          </w:tcPr>
          <w:p>
            <w:pPr>
              <w:ind w:left="660"/>
              <w:spacing w:after="0"/>
              <w:rPr>
                <w:sz w:val="20"/>
                <w:szCs w:val="20"/>
                <w:color w:val="auto"/>
              </w:rPr>
            </w:pPr>
            <w:r>
              <w:rPr>
                <w:rFonts w:ascii="Times New Roman" w:cs="Times New Roman" w:eastAsia="Times New Roman" w:hAnsi="Times New Roman"/>
                <w:sz w:val="22"/>
                <w:szCs w:val="22"/>
                <w:b w:val="1"/>
                <w:bCs w:val="1"/>
                <w:color w:val="auto"/>
              </w:rPr>
              <w:t>Subsidiaries of Registrant*</w:t>
            </w:r>
          </w:p>
        </w:tc>
      </w:tr>
      <w:tr>
        <w:trPr>
          <w:trHeight w:val="568"/>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76"/>
        </w:trPr>
        <w:tc>
          <w:tcPr>
            <w:tcW w:w="3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Athira Pharma Australia PTY LTD</w:t>
            </w:r>
          </w:p>
        </w:tc>
        <w:tc>
          <w:tcPr>
            <w:tcW w:w="1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22"/>
                <w:szCs w:val="22"/>
                <w:color w:val="auto"/>
              </w:rPr>
              <w:t>Australia</w:t>
            </w:r>
          </w:p>
        </w:tc>
      </w:tr>
    </w:tbl>
    <w:p>
      <w:pPr>
        <w:spacing w:after="0" w:line="200" w:lineRule="exact"/>
        <w:rPr>
          <w:sz w:val="20"/>
          <w:szCs w:val="20"/>
          <w:color w:val="auto"/>
        </w:rPr>
      </w:pPr>
    </w:p>
    <w:p>
      <w:pPr>
        <w:spacing w:after="0" w:line="381" w:lineRule="exact"/>
        <w:rPr>
          <w:sz w:val="20"/>
          <w:szCs w:val="20"/>
          <w:color w:val="auto"/>
        </w:rPr>
      </w:pPr>
    </w:p>
    <w:p>
      <w:pPr>
        <w:ind w:right="520" w:firstLine="8"/>
        <w:spacing w:after="0" w:line="282" w:lineRule="auto"/>
        <w:tabs>
          <w:tab w:leader="none" w:pos="162"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Inclusion on the list above is not an admission that any of the above entities, individually or in the aggregate, constitutes a significant subsidiary within the meaning of Rule 1-02(w) of Regulation </w:t>
      </w:r>
      <w:r>
        <w:rPr>
          <w:rFonts w:ascii="Times New Roman" w:cs="Times New Roman" w:eastAsia="Times New Roman" w:hAnsi="Times New Roman"/>
          <w:sz w:val="21"/>
          <w:szCs w:val="21"/>
          <w:i w:val="1"/>
          <w:iCs w:val="1"/>
          <w:color w:val="auto"/>
        </w:rPr>
        <w:t>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X</w:t>
      </w:r>
      <w:r>
        <w:rPr>
          <w:rFonts w:ascii="Times New Roman" w:cs="Times New Roman" w:eastAsia="Times New Roman" w:hAnsi="Times New Roman"/>
          <w:sz w:val="21"/>
          <w:szCs w:val="21"/>
          <w:color w:val="auto"/>
        </w:rPr>
        <w:t xml:space="preserve"> and Item 601(b)(21)(ii)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1240"/>
      </w:cols>
      <w:pgMar w:left="320" w:top="3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BE5BE9"/>
    <w:multiLevelType w:val="hybridMultilevel"/>
    <w:lvl w:ilvl="0">
      <w:lvlJc w:val="left"/>
      <w:lvlText w:val="*"/>
      <w:numFmt w:val="bullet"/>
      <w:start w:val="1"/>
    </w:lvl>
  </w:abstractNum>
  <w:abstractNum w:abstractNumId="1">
    <w:nsid w:val="3102BBE2"/>
    <w:multiLevelType w:val="hybridMultilevel"/>
    <w:lvl w:ilvl="0">
      <w:lvlJc w:val="left"/>
      <w:lvlText w:val="(%1)"/>
      <w:numFmt w:val="lowerLetter"/>
      <w:start w:val="1"/>
    </w:lvl>
  </w:abstractNum>
  <w:abstractNum w:abstractNumId="2">
    <w:nsid w:val="26A02C5E"/>
    <w:multiLevelType w:val="hybridMultilevel"/>
    <w:lvl w:ilvl="0">
      <w:lvlJc w:val="left"/>
      <w:lvlText w:val="(%1)"/>
      <w:numFmt w:val="lowerLetter"/>
      <w:start w:val="5"/>
    </w:lvl>
  </w:abstractNum>
  <w:abstractNum w:abstractNumId="3">
    <w:nsid w:val="541C8153"/>
    <w:multiLevelType w:val="hybridMultilevel"/>
    <w:lvl w:ilvl="0">
      <w:lvlJc w:val="left"/>
      <w:lvlText w:val="+"/>
      <w:numFmt w:val="bullet"/>
      <w:start w:val="1"/>
    </w:lvl>
  </w:abstractNum>
  <w:abstractNum w:abstractNumId="4">
    <w:nsid w:val="67906F60"/>
    <w:multiLevelType w:val="hybridMultilevel"/>
    <w:lvl w:ilvl="0">
      <w:lvlJc w:val="left"/>
      <w:lvlText w:val="†"/>
      <w:numFmt w:val="bullet"/>
      <w:start w:val="1"/>
    </w:lvl>
  </w:abstractNum>
  <w:abstractNum w:abstractNumId="5">
    <w:nsid w:val="10DB9DAA"/>
    <w:multiLevelType w:val="hybridMultilevel"/>
    <w:lvl w:ilvl="0">
      <w:lvlJc w:val="left"/>
      <w:lvlText w:val="*"/>
      <w:numFmt w:val="bullet"/>
      <w:start w:val="1"/>
    </w:lvl>
  </w:abstractNum>
  <w:abstractNum w:abstractNumId="6">
    <w:nsid w:val="697D2D2"/>
    <w:multiLevelType w:val="hybridMultilevel"/>
    <w:lvl w:ilvl="0">
      <w:lvlJc w:val="left"/>
      <w:lvlText w:val="(%1)"/>
      <w:numFmt w:val="decimal"/>
      <w:start w:val="1"/>
    </w:lvl>
  </w:abstractNum>
  <w:abstractNum w:abstractNumId="7">
    <w:nsid w:val="6D68AB2"/>
    <w:multiLevelType w:val="hybridMultilevel"/>
    <w:lvl w:ilvl="0">
      <w:lvlJc w:val="left"/>
      <w:lvlText w:val="%1."/>
      <w:numFmt w:val="decimal"/>
      <w:start w:val="1"/>
    </w:lvl>
    <w:lvl w:ilvl="1">
      <w:lvlJc w:val="left"/>
      <w:lvlText w:val="(%2)"/>
      <w:numFmt w:val="lowerLetter"/>
      <w:start w:val="1"/>
    </w:lvl>
  </w:abstractNum>
  <w:abstractNum w:abstractNumId="8">
    <w:nsid w:val="3A966CD0"/>
    <w:multiLevelType w:val="hybridMultilevel"/>
    <w:lvl w:ilvl="0">
      <w:lvlJc w:val="left"/>
      <w:lvlText w:val="(%1)"/>
      <w:numFmt w:val="lowerLetter"/>
      <w:start w:val="2"/>
    </w:lvl>
  </w:abstractNum>
  <w:abstractNum w:abstractNumId="9">
    <w:nsid w:val="63F37E85"/>
    <w:multiLevelType w:val="hybridMultilevel"/>
    <w:lvl w:ilvl="0">
      <w:lvlJc w:val="left"/>
      <w:lvlText w:val="(%1)"/>
      <w:numFmt w:val="lowerLetter"/>
      <w:start w:val="4"/>
    </w:lvl>
  </w:abstractNum>
  <w:abstractNum w:abstractNumId="10">
    <w:nsid w:val="5895F5FA"/>
    <w:multiLevelType w:val="hybridMultilevel"/>
    <w:lvl w:ilvl="0">
      <w:lvlJc w:val="left"/>
      <w:lvlText w:val="(%1)"/>
      <w:numFmt w:val="lowerLetter"/>
      <w:start w:val="7"/>
    </w:lvl>
  </w:abstractNum>
  <w:abstractNum w:abstractNumId="11">
    <w:nsid w:val="38A5D054"/>
    <w:multiLevelType w:val="hybridMultilevel"/>
    <w:lvl w:ilvl="0">
      <w:lvlJc w:val="left"/>
      <w:lvlText w:val="(%1)"/>
      <w:numFmt w:val="lowerLetter"/>
      <w:start w:val="10"/>
    </w:lvl>
  </w:abstractNum>
  <w:abstractNum w:abstractNumId="12">
    <w:nsid w:val="F3F09D8"/>
    <w:multiLevelType w:val="hybridMultilevel"/>
    <w:lvl w:ilvl="0">
      <w:lvlJc w:val="left"/>
      <w:lvlText w:val="(%1)"/>
      <w:numFmt w:val="lowerLetter"/>
      <w:start w:val="14"/>
    </w:lvl>
  </w:abstractNum>
  <w:abstractNum w:abstractNumId="13">
    <w:nsid w:val="4B793735"/>
    <w:multiLevelType w:val="hybridMultilevel"/>
    <w:lvl w:ilvl="0">
      <w:lvlJc w:val="left"/>
      <w:lvlText w:val="(%1)"/>
      <w:numFmt w:val="lowerLetter"/>
      <w:start w:val="21"/>
    </w:lvl>
  </w:abstractNum>
  <w:abstractNum w:abstractNumId="14">
    <w:nsid w:val="4A10B4E8"/>
    <w:multiLevelType w:val="hybridMultilevel"/>
    <w:lvl w:ilvl="0">
      <w:lvlJc w:val="left"/>
      <w:lvlText w:val="%1"/>
      <w:numFmt w:val="decimal"/>
      <w:start w:val="1"/>
    </w:lvl>
    <w:lvl w:ilvl="1">
      <w:lvlJc w:val="left"/>
      <w:lvlText w:val="(%2)"/>
      <w:numFmt w:val="lowerLetter"/>
      <w:start w:val="27"/>
    </w:lvl>
  </w:abstractNum>
  <w:abstractNum w:abstractNumId="15">
    <w:nsid w:val="43D3BCD4"/>
    <w:multiLevelType w:val="hybridMultilevel"/>
    <w:lvl w:ilvl="0">
      <w:lvlJc w:val="left"/>
      <w:lvlText w:val="(%1)"/>
      <w:numFmt w:val="decimal"/>
      <w:start w:val="19"/>
    </w:lvl>
    <w:lvl w:ilvl="1">
      <w:lvlJc w:val="left"/>
      <w:lvlText w:val="(%2)"/>
      <w:numFmt w:val="lowerLetter"/>
      <w:start w:val="28"/>
    </w:lvl>
  </w:abstractNum>
  <w:abstractNum w:abstractNumId="16">
    <w:nsid w:val="4C2A7166"/>
    <w:multiLevelType w:val="hybridMultilevel"/>
    <w:lvl w:ilvl="0">
      <w:lvlJc w:val="left"/>
      <w:lvlText w:val="§§"/>
      <w:numFmt w:val="bullet"/>
      <w:start w:val="1"/>
    </w:lvl>
    <w:lvl w:ilvl="1">
      <w:lvlJc w:val="left"/>
      <w:lvlText w:val="(%2)"/>
      <w:numFmt w:val="lowerLetter"/>
      <w:start w:val="32"/>
    </w:lvl>
  </w:abstractNum>
  <w:abstractNum w:abstractNumId="17">
    <w:nsid w:val="2E534A82"/>
    <w:multiLevelType w:val="hybridMultilevel"/>
    <w:lvl w:ilvl="0">
      <w:lvlJc w:val="left"/>
      <w:lvlText w:val="(%1)"/>
      <w:numFmt w:val="lowerRoman"/>
      <w:start w:val="2"/>
    </w:lvl>
  </w:abstractNum>
  <w:abstractNum w:abstractNumId="18">
    <w:nsid w:val="26F2D364"/>
    <w:multiLevelType w:val="hybridMultilevel"/>
    <w:lvl w:ilvl="0">
      <w:lvlJc w:val="left"/>
      <w:lvlText w:val="(%1)"/>
      <w:numFmt w:val="lowerLetter"/>
      <w:start w:val="36"/>
    </w:lvl>
    <w:lvl w:ilvl="1">
      <w:lvlJc w:val="left"/>
      <w:lvlText w:val="(%2)"/>
      <w:numFmt w:val="lowerLetter"/>
      <w:start w:val="35"/>
    </w:lvl>
  </w:abstractNum>
  <w:abstractNum w:abstractNumId="19">
    <w:nsid w:val="71C1AF98"/>
    <w:multiLevelType w:val="hybridMultilevel"/>
    <w:lvl w:ilvl="0">
      <w:lvlJc w:val="left"/>
      <w:lvlText w:val="(%1)"/>
      <w:numFmt w:val="lowerLetter"/>
      <w:start w:val="37"/>
    </w:lvl>
  </w:abstractNum>
  <w:abstractNum w:abstractNumId="20">
    <w:nsid w:val="3D00B9D9"/>
    <w:multiLevelType w:val="hybridMultilevel"/>
    <w:lvl w:ilvl="0">
      <w:lvlJc w:val="left"/>
      <w:lvlText w:val="(%1)"/>
      <w:numFmt w:val="lowerLetter"/>
      <w:start w:val="40"/>
    </w:lvl>
  </w:abstractNum>
  <w:abstractNum w:abstractNumId="21">
    <w:nsid w:val="15BCABA8"/>
    <w:multiLevelType w:val="hybridMultilevel"/>
    <w:lvl w:ilvl="0">
      <w:lvlJc w:val="left"/>
      <w:lvlText w:val="%1"/>
      <w:numFmt w:val="decimal"/>
      <w:start w:val="1"/>
    </w:lvl>
    <w:lvl w:ilvl="1">
      <w:lvlJc w:val="left"/>
      <w:lvlText w:val="(%2)"/>
      <w:numFmt w:val="lowerLetter"/>
      <w:start w:val="46"/>
    </w:lvl>
  </w:abstractNum>
  <w:abstractNum w:abstractNumId="22">
    <w:nsid w:val="4E0B9A87"/>
    <w:multiLevelType w:val="hybridMultilevel"/>
    <w:lvl w:ilvl="0">
      <w:lvlJc w:val="left"/>
      <w:lvlText w:val="%1."/>
      <w:numFmt w:val="decimal"/>
      <w:start w:val="2"/>
    </w:lvl>
    <w:lvl w:ilvl="1">
      <w:lvlJc w:val="left"/>
      <w:lvlText w:val="%2"/>
      <w:numFmt w:val="lowerLetter"/>
      <w:start w:val="1"/>
    </w:lvl>
  </w:abstractNum>
  <w:abstractNum w:abstractNumId="23">
    <w:nsid w:val="434BAE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4">
    <w:nsid w:val="4F38F265"/>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1"/>
    </w:lvl>
  </w:abstractNum>
  <w:abstractNum w:abstractNumId="25">
    <w:nsid w:val="4C502870"/>
    <w:multiLevelType w:val="hybridMultilevel"/>
    <w:lvl w:ilvl="0">
      <w:lvlJc w:val="left"/>
      <w:lvlText w:val="%1."/>
      <w:numFmt w:val="decimal"/>
      <w:start w:val="5"/>
    </w:lvl>
    <w:lvl w:ilvl="1">
      <w:lvlJc w:val="left"/>
      <w:lvlText w:val="(%2)"/>
      <w:numFmt w:val="lowerLetter"/>
      <w:start w:val="1"/>
    </w:lvl>
  </w:abstractNum>
  <w:abstractNum w:abstractNumId="26">
    <w:nsid w:val="1DE8725A"/>
    <w:multiLevelType w:val="hybridMultilevel"/>
    <w:lvl w:ilvl="0">
      <w:lvlJc w:val="left"/>
      <w:lvlText w:val="(%1)"/>
      <w:numFmt w:val="lowerLetter"/>
      <w:start w:val="4"/>
    </w:lvl>
  </w:abstractNum>
  <w:abstractNum w:abstractNumId="27">
    <w:nsid w:val="6A37288A"/>
    <w:multiLevelType w:val="hybridMultilevel"/>
    <w:lvl w:ilvl="0">
      <w:lvlJc w:val="left"/>
      <w:lvlText w:val="%1"/>
      <w:numFmt w:val="lowerLetter"/>
      <w:start w:val="1"/>
    </w:lvl>
    <w:lvl w:ilvl="1">
      <w:lvlJc w:val="left"/>
      <w:lvlText w:val="(%2)"/>
      <w:numFmt w:val="lowerRoman"/>
      <w:start w:val="2"/>
    </w:lvl>
  </w:abstractNum>
  <w:abstractNum w:abstractNumId="28">
    <w:nsid w:val="8F8B73F"/>
    <w:multiLevelType w:val="hybridMultilevel"/>
    <w:lvl w:ilvl="0">
      <w:lvlJc w:val="left"/>
      <w:lvlText w:val="(%1)"/>
      <w:numFmt w:val="lowerLetter"/>
      <w:start w:val="6"/>
    </w:lvl>
    <w:lvl w:ilvl="1">
      <w:lvlJc w:val="left"/>
      <w:lvlText w:val="%2"/>
      <w:numFmt w:val="lowerRoman"/>
      <w:start w:val="1"/>
    </w:lvl>
  </w:abstractNum>
  <w:abstractNum w:abstractNumId="29">
    <w:nsid w:val="CA6B462"/>
    <w:multiLevelType w:val="hybridMultilevel"/>
    <w:lvl w:ilvl="0">
      <w:lvlJc w:val="left"/>
      <w:lvlText w:val="%1"/>
      <w:numFmt w:val="decimal"/>
      <w:start w:val="1"/>
    </w:lvl>
    <w:lvl w:ilvl="1">
      <w:lvlJc w:val="left"/>
      <w:lvlText w:val="(%2)"/>
      <w:numFmt w:val="lowerLetter"/>
      <w:start w:val="11"/>
    </w:lvl>
  </w:abstractNum>
  <w:abstractNum w:abstractNumId="30">
    <w:nsid w:val="763CB680"/>
    <w:multiLevelType w:val="hybridMultilevel"/>
    <w:lvl w:ilvl="0">
      <w:lvlJc w:val="left"/>
      <w:lvlText w:val="%1."/>
      <w:numFmt w:val="decimal"/>
      <w:start w:val="6"/>
    </w:lvl>
    <w:lvl w:ilvl="1">
      <w:lvlJc w:val="left"/>
      <w:lvlText w:val="(%2)"/>
      <w:numFmt w:val="lowerLetter"/>
      <w:start w:val="2"/>
    </w:lvl>
  </w:abstractNum>
  <w:abstractNum w:abstractNumId="31">
    <w:nsid w:val="15B71329"/>
    <w:multiLevelType w:val="hybridMultilevel"/>
    <w:lvl w:ilvl="0">
      <w:lvlJc w:val="left"/>
      <w:lvlText w:val="%1"/>
      <w:numFmt w:val="decimal"/>
      <w:start w:val="1"/>
    </w:lvl>
    <w:lvl w:ilvl="1">
      <w:lvlJc w:val="left"/>
      <w:lvlText w:val="(%2)"/>
      <w:numFmt w:val="lowerLetter"/>
      <w:start w:val="4"/>
    </w:lvl>
  </w:abstractNum>
  <w:abstractNum w:abstractNumId="32">
    <w:nsid w:val="3DA97044"/>
    <w:multiLevelType w:val="hybridMultilevel"/>
    <w:lvl w:ilvl="0">
      <w:lvlJc w:val="left"/>
      <w:lvlText w:val="%1."/>
      <w:numFmt w:val="decimal"/>
      <w:start w:val="7"/>
    </w:lvl>
    <w:lvl w:ilvl="1">
      <w:lvlJc w:val="left"/>
      <w:lvlText w:val="%2"/>
      <w:numFmt w:val="lowerLetter"/>
      <w:start w:val="1"/>
    </w:lvl>
  </w:abstractNum>
  <w:abstractNum w:abstractNumId="33">
    <w:nsid w:val="1CDCE2DE"/>
    <w:multiLevelType w:val="hybridMultilevel"/>
    <w:lvl w:ilvl="0">
      <w:lvlJc w:val="left"/>
      <w:lvlText w:val="(%1)"/>
      <w:numFmt w:val="lowerLetter"/>
      <w:start w:val="1"/>
    </w:lvl>
  </w:abstractNum>
  <w:abstractNum w:abstractNumId="34">
    <w:nsid w:val="69D3947C"/>
    <w:multiLevelType w:val="hybridMultilevel"/>
    <w:lvl w:ilvl="0">
      <w:lvlJc w:val="left"/>
      <w:lvlText w:val="%1"/>
      <w:numFmt w:val="decimal"/>
      <w:start w:val="1"/>
    </w:lvl>
    <w:lvl w:ilvl="1">
      <w:lvlJc w:val="left"/>
      <w:lvlText w:val="(%2)"/>
      <w:numFmt w:val="lowerLetter"/>
      <w:start w:val="7"/>
    </w:lvl>
  </w:abstractNum>
  <w:abstractNum w:abstractNumId="35">
    <w:nsid w:val="2539DFA5"/>
    <w:multiLevelType w:val="hybridMultilevel"/>
    <w:lvl w:ilvl="0">
      <w:lvlJc w:val="left"/>
      <w:lvlText w:val="(%1)"/>
      <w:numFmt w:val="decimal"/>
      <w:start w:val="62"/>
    </w:lvl>
    <w:lvl w:ilvl="1">
      <w:lvlJc w:val="left"/>
      <w:lvlText w:val="(%2)"/>
      <w:numFmt w:val="lowerLetter"/>
      <w:start w:val="8"/>
    </w:lvl>
  </w:abstractNum>
  <w:abstractNum w:abstractNumId="36">
    <w:nsid w:val="2DB88089"/>
    <w:multiLevelType w:val="hybridMultilevel"/>
    <w:lvl w:ilvl="0">
      <w:lvlJc w:val="left"/>
      <w:lvlText w:val="%1."/>
      <w:numFmt w:val="decimal"/>
      <w:start w:val="9"/>
    </w:lvl>
    <w:lvl w:ilvl="1">
      <w:lvlJc w:val="left"/>
      <w:lvlText w:val="(%2)"/>
      <w:numFmt w:val="lowerLetter"/>
      <w:start w:val="2"/>
    </w:lvl>
  </w:abstractNum>
  <w:abstractNum w:abstractNumId="37">
    <w:nsid w:val="706B674E"/>
    <w:multiLevelType w:val="hybridMultilevel"/>
    <w:lvl w:ilvl="0">
      <w:lvlJc w:val="left"/>
      <w:lvlText w:val="(%1)"/>
      <w:numFmt w:val="lowerLetter"/>
      <w:start w:val="4"/>
    </w:lvl>
  </w:abstractNum>
  <w:abstractNum w:abstractNumId="38">
    <w:nsid w:val="2C106A57"/>
    <w:multiLevelType w:val="hybridMultilevel"/>
    <w:lvl w:ilvl="0">
      <w:lvlJc w:val="left"/>
      <w:lvlText w:val="%1"/>
      <w:numFmt w:val="decimal"/>
      <w:start w:val="1"/>
    </w:lvl>
    <w:lvl w:ilvl="1">
      <w:lvlJc w:val="left"/>
      <w:lvlText w:val="(%2)"/>
      <w:numFmt w:val="lowerLetter"/>
      <w:start w:val="5"/>
    </w:lvl>
  </w:abstractNum>
  <w:abstractNum w:abstractNumId="39">
    <w:nsid w:val="684EED59"/>
    <w:multiLevelType w:val="hybridMultilevel"/>
    <w:lvl w:ilvl="0">
      <w:lvlJc w:val="left"/>
      <w:lvlText w:val="%1."/>
      <w:numFmt w:val="decimal"/>
      <w:start w:val="10"/>
    </w:lvl>
    <w:lvl w:ilvl="1">
      <w:lvlJc w:val="left"/>
      <w:lvlText w:val="(%2)"/>
      <w:numFmt w:val="lowerLetter"/>
      <w:start w:val="2"/>
    </w:lvl>
  </w:abstractNum>
  <w:abstractNum w:abstractNumId="40">
    <w:nsid w:val="545EE5D3"/>
    <w:multiLevelType w:val="hybridMultilevel"/>
    <w:lvl w:ilvl="0">
      <w:lvlJc w:val="left"/>
      <w:lvlText w:val="(%1)"/>
      <w:numFmt w:val="lowerLetter"/>
      <w:start w:val="3"/>
    </w:lvl>
  </w:abstractNum>
  <w:abstractNum w:abstractNumId="41">
    <w:nsid w:val="4A66051"/>
    <w:multiLevelType w:val="hybridMultilevel"/>
    <w:lvl w:ilvl="0">
      <w:lvlJc w:val="left"/>
      <w:lvlText w:val="%1"/>
      <w:numFmt w:val="decimal"/>
      <w:start w:val="1"/>
    </w:lvl>
    <w:lvl w:ilvl="1">
      <w:lvlJc w:val="left"/>
      <w:lvlText w:val="(%2)"/>
      <w:numFmt w:val="lowerLetter"/>
      <w:start w:val="4"/>
    </w:lvl>
  </w:abstractNum>
  <w:abstractNum w:abstractNumId="42">
    <w:nsid w:val="20F4BDAD"/>
    <w:multiLevelType w:val="hybridMultilevel"/>
    <w:lvl w:ilvl="0">
      <w:lvlJc w:val="left"/>
      <w:lvlText w:val="%1."/>
      <w:numFmt w:val="decimal"/>
      <w:start w:val="11"/>
    </w:lvl>
    <w:lvl w:ilvl="1">
      <w:lvlJc w:val="left"/>
      <w:lvlText w:val="(%2)"/>
      <w:numFmt w:val="lowerLetter"/>
      <w:start w:val="2"/>
    </w:lvl>
  </w:abstractNum>
  <w:abstractNum w:abstractNumId="43">
    <w:nsid w:val="639DEFAC"/>
    <w:multiLevelType w:val="hybridMultilevel"/>
    <w:lvl w:ilvl="0">
      <w:lvlJc w:val="left"/>
      <w:lvlText w:val="%1."/>
      <w:numFmt w:val="decimal"/>
      <w:start w:val="13"/>
    </w:lvl>
  </w:abstractNum>
  <w:abstractNum w:abstractNumId="44">
    <w:nsid w:val="501F9786"/>
    <w:multiLevelType w:val="hybridMultilevel"/>
    <w:lvl w:ilvl="0">
      <w:lvlJc w:val="left"/>
      <w:lvlText w:val="%1."/>
      <w:numFmt w:val="decimal"/>
      <w:start w:val="15"/>
    </w:lvl>
  </w:abstractNum>
  <w:abstractNum w:abstractNumId="45">
    <w:nsid w:val="6B057295"/>
    <w:multiLevelType w:val="hybridMultilevel"/>
    <w:lvl w:ilvl="0">
      <w:lvlJc w:val="left"/>
      <w:lvlText w:val="%1."/>
      <w:numFmt w:val="decimal"/>
      <w:start w:val="17"/>
    </w:lvl>
  </w:abstractNum>
  <w:abstractNum w:abstractNumId="46">
    <w:nsid w:val="2771AC80"/>
    <w:multiLevelType w:val="hybridMultilevel"/>
    <w:lvl w:ilvl="0">
      <w:lvlJc w:val="left"/>
      <w:lvlText w:val="(%1)"/>
      <w:numFmt w:val="lowerLetter"/>
      <w:start w:val="1"/>
    </w:lvl>
  </w:abstractNum>
  <w:abstractNum w:abstractNumId="47">
    <w:nsid w:val="1C4A08EC"/>
    <w:multiLevelType w:val="hybridMultilevel"/>
    <w:lvl w:ilvl="0">
      <w:lvlJc w:val="left"/>
      <w:lvlText w:val="(%1)"/>
      <w:numFmt w:val="lowerRoman"/>
      <w:start w:val="1"/>
    </w:lvl>
  </w:abstractNum>
  <w:abstractNum w:abstractNumId="48">
    <w:nsid w:val="1958BD17"/>
    <w:multiLevelType w:val="hybridMultilevel"/>
    <w:lvl w:ilvl="0">
      <w:lvlJc w:val="left"/>
      <w:lvlText w:val="(%1)"/>
      <w:numFmt w:val="lowerLetter"/>
      <w:start w:val="1"/>
    </w:lvl>
  </w:abstractNum>
  <w:abstractNum w:abstractNumId="49">
    <w:nsid w:val="4E647FE4"/>
    <w:multiLevelType w:val="hybridMultilevel"/>
    <w:lvl w:ilvl="0">
      <w:lvlJc w:val="left"/>
      <w:lvlText w:val="(%1)"/>
      <w:numFmt w:val="lowerLetter"/>
      <w:start w:val="3"/>
    </w:lvl>
  </w:abstractNum>
  <w:abstractNum w:abstractNumId="50">
    <w:nsid w:val="E0BB885"/>
    <w:multiLevelType w:val="hybridMultilevel"/>
    <w:lvl w:ilvl="0">
      <w:lvlJc w:val="left"/>
      <w:lvlText w:val="(%1)"/>
      <w:numFmt w:val="lowerLetter"/>
      <w:start w:val="4"/>
    </w:lvl>
  </w:abstractNum>
  <w:abstractNum w:abstractNumId="51">
    <w:nsid w:val="565976F1"/>
    <w:multiLevelType w:val="hybridMultilevel"/>
    <w:lvl w:ilvl="0">
      <w:lvlJc w:val="left"/>
      <w:lvlText w:val="(%1)"/>
      <w:numFmt w:val="lowerRoman"/>
      <w:start w:val="1"/>
    </w:lvl>
  </w:abstractNum>
  <w:abstractNum w:abstractNumId="52">
    <w:nsid w:val="64212B8C"/>
    <w:multiLevelType w:val="hybridMultilevel"/>
    <w:lvl w:ilvl="0">
      <w:lvlJc w:val="left"/>
      <w:lvlText w:val="(%1)"/>
      <w:numFmt w:val="lowerRoman"/>
      <w:start w:val="6"/>
    </w:lvl>
  </w:abstractNum>
  <w:abstractNum w:abstractNumId="53">
    <w:nsid w:val="5C17530C"/>
    <w:multiLevelType w:val="hybridMultilevel"/>
    <w:lvl w:ilvl="0">
      <w:lvlJc w:val="left"/>
      <w:lvlText w:val="(%1)"/>
      <w:numFmt w:val="lowerRoman"/>
      <w:start w:val="11"/>
    </w:lvl>
  </w:abstractNum>
  <w:abstractNum w:abstractNumId="54">
    <w:nsid w:val="19A52566"/>
    <w:multiLevelType w:val="hybridMultilevel"/>
    <w:lvl w:ilvl="0">
      <w:lvlJc w:val="left"/>
      <w:lvlText w:val="%1."/>
      <w:numFmt w:val="upperLetter"/>
      <w:start w:val="1"/>
    </w:lvl>
  </w:abstractNum>
  <w:abstractNum w:abstractNumId="55">
    <w:nsid w:val="335A1DF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6">
    <w:nsid w:val="28677B7C"/>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57">
    <w:nsid w:val="378D97C0"/>
    <w:multiLevelType w:val="hybridMultilevel"/>
    <w:lvl w:ilvl="0">
      <w:lvlJc w:val="left"/>
      <w:lvlText w:val="(%1)"/>
      <w:numFmt w:val="lowerLetter"/>
      <w:start w:val="2"/>
    </w:lvl>
  </w:abstractNum>
  <w:abstractNum w:abstractNumId="58">
    <w:nsid w:val="1D91467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9">
    <w:nsid w:val="316032BB"/>
    <w:multiLevelType w:val="hybridMultilevel"/>
    <w:lvl w:ilvl="0">
      <w:lvlJc w:val="left"/>
      <w:lvlText w:val="(%1)"/>
      <w:numFmt w:val="lowerRoman"/>
      <w:start w:val="3"/>
    </w:lvl>
    <w:lvl w:ilvl="1">
      <w:lvlJc w:val="left"/>
      <w:lvlText w:val="(%2)"/>
      <w:numFmt w:val="decimal"/>
      <w:start w:val="1"/>
    </w:lvl>
  </w:abstractNum>
  <w:abstractNum w:abstractNumId="60">
    <w:nsid w:val="44344C22"/>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61">
    <w:nsid w:val="13CDFCFC"/>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62">
    <w:nsid w:val="471745E4"/>
    <w:multiLevelType w:val="hybridMultilevel"/>
    <w:lvl w:ilvl="0">
      <w:lvlJc w:val="left"/>
      <w:lvlText w:val="%1"/>
      <w:numFmt w:val="decimal"/>
      <w:start w:val="1"/>
    </w:lvl>
    <w:lvl w:ilvl="1">
      <w:lvlJc w:val="left"/>
      <w:lvlText w:val="(%2)"/>
      <w:numFmt w:val="upperLetter"/>
      <w:start w:val="5"/>
    </w:lvl>
    <w:lvl w:ilvl="2">
      <w:lvlJc w:val="left"/>
      <w:lvlText w:val="-"/>
      <w:numFmt w:val="bullet"/>
      <w:start w:val="1"/>
    </w:lvl>
  </w:abstractNum>
  <w:abstractNum w:abstractNumId="63">
    <w:nsid w:val="1DDBC66"/>
    <w:multiLevelType w:val="hybridMultilevel"/>
    <w:lvl w:ilvl="0">
      <w:lvlJc w:val="left"/>
      <w:lvlText w:val="(%1)"/>
      <w:numFmt w:val="decimal"/>
      <w:start w:val="3"/>
    </w:lvl>
    <w:lvl w:ilvl="1">
      <w:lvlJc w:val="left"/>
      <w:lvlText w:val="(%2)"/>
      <w:numFmt w:val="upperLetter"/>
      <w:start w:val="1"/>
    </w:lvl>
    <w:lvl w:ilvl="2">
      <w:lvlJc w:val="left"/>
      <w:lvlText w:val="-"/>
      <w:numFmt w:val="bullet"/>
      <w:start w:val="1"/>
    </w:lvl>
  </w:abstractNum>
  <w:abstractNum w:abstractNumId="64">
    <w:nsid w:val="30AADFDA"/>
    <w:multiLevelType w:val="hybridMultilevel"/>
    <w:lvl w:ilvl="0">
      <w:lvlJc w:val="left"/>
      <w:lvlText w:val="%1"/>
      <w:numFmt w:val="lowerRoman"/>
      <w:start w:val="1"/>
    </w:lvl>
    <w:lvl w:ilvl="1">
      <w:lvlJc w:val="left"/>
      <w:lvlText w:val="(%2)"/>
      <w:numFmt w:val="upperLetter"/>
      <w:start w:val="8"/>
    </w:lvl>
    <w:lvl w:ilvl="2">
      <w:lvlJc w:val="left"/>
      <w:lvlText w:val="-"/>
      <w:numFmt w:val="bullet"/>
      <w:start w:val="1"/>
    </w:lvl>
  </w:abstractNum>
  <w:abstractNum w:abstractNumId="65">
    <w:nsid w:val="30EADA61"/>
    <w:multiLevelType w:val="hybridMultilevel"/>
    <w:lvl w:ilvl="0">
      <w:lvlJc w:val="left"/>
      <w:lvlText w:val="(%1)"/>
      <w:numFmt w:val="lowerRoman"/>
      <w:start w:val="4"/>
    </w:lvl>
    <w:lvl w:ilvl="1">
      <w:lvlJc w:val="left"/>
      <w:lvlText w:val="%2"/>
      <w:numFmt w:val="upperLetter"/>
      <w:start w:val="1"/>
    </w:lvl>
    <w:lvl w:ilvl="2">
      <w:lvlJc w:val="left"/>
      <w:lvlText w:val="-"/>
      <w:numFmt w:val="bullet"/>
      <w:start w:val="1"/>
    </w:lvl>
  </w:abstractNum>
  <w:abstractNum w:abstractNumId="66">
    <w:nsid w:val="27179C0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7">
    <w:nsid w:val="5E636063"/>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68">
    <w:nsid w:val="215641AF"/>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69">
    <w:nsid w:val="53280662"/>
    <w:multiLevelType w:val="hybridMultilevel"/>
    <w:lvl w:ilvl="0">
      <w:lvlJc w:val="left"/>
      <w:lvlText w:val="(%1)"/>
      <w:numFmt w:val="lowerLetter"/>
      <w:start w:val="1"/>
    </w:lvl>
  </w:abstractNum>
  <w:abstractNum w:abstractNumId="70">
    <w:nsid w:val="46B24DBC"/>
    <w:multiLevelType w:val="hybridMultilevel"/>
    <w:lvl w:ilvl="0">
      <w:lvlJc w:val="left"/>
      <w:lvlText w:val="(%1)"/>
      <w:numFmt w:val="lowerLetter"/>
      <w:start w:val="1"/>
    </w:lvl>
  </w:abstractNum>
  <w:abstractNum w:abstractNumId="71">
    <w:nsid w:val="75B52783"/>
    <w:multiLevelType w:val="hybridMultilevel"/>
    <w:lvl w:ilvl="0">
      <w:lvlJc w:val="left"/>
      <w:lvlText w:val="(%1)"/>
      <w:numFmt w:val="lowerRoman"/>
      <w:start w:val="4"/>
    </w:lvl>
    <w:lvl w:ilvl="1">
      <w:lvlJc w:val="left"/>
      <w:lvlText w:val="-"/>
      <w:numFmt w:val="bullet"/>
      <w:start w:val="1"/>
    </w:lvl>
  </w:abstractNum>
  <w:abstractNum w:abstractNumId="72">
    <w:nsid w:val="57CE66B4"/>
    <w:multiLevelType w:val="hybridMultilevel"/>
    <w:lvl w:ilvl="0">
      <w:lvlJc w:val="left"/>
      <w:lvlText w:val="(%1)"/>
      <w:numFmt w:val="lowerLetter"/>
      <w:start w:val="1"/>
    </w:lvl>
  </w:abstractNum>
  <w:abstractNum w:abstractNumId="73">
    <w:nsid w:val="67A70B69"/>
    <w:multiLevelType w:val="hybridMultilevel"/>
    <w:lvl w:ilvl="0">
      <w:lvlJc w:val="left"/>
      <w:lvlText w:val="(%1)"/>
      <w:numFmt w:val="lowerLetter"/>
      <w:start w:val="1"/>
    </w:lvl>
  </w:abstractNum>
  <w:abstractNum w:abstractNumId="74">
    <w:nsid w:val="5953172F"/>
    <w:multiLevelType w:val="hybridMultilevel"/>
    <w:lvl w:ilvl="0">
      <w:lvlJc w:val="left"/>
      <w:lvlText w:val="(%1)"/>
      <w:numFmt w:val="lowerLetter"/>
      <w:start w:val="1"/>
    </w:lvl>
  </w:abstractNum>
  <w:abstractNum w:abstractNumId="75">
    <w:nsid w:val="27EDFE3A"/>
    <w:multiLevelType w:val="hybridMultilevel"/>
    <w:lvl w:ilvl="0">
      <w:lvlJc w:val="left"/>
      <w:lvlText w:val="%1."/>
      <w:numFmt w:val="decimal"/>
      <w:start w:val="1"/>
    </w:lvl>
  </w:abstractNum>
  <w:abstractNum w:abstractNumId="76">
    <w:nsid w:val="52AC7DFF"/>
    <w:multiLevelType w:val="hybridMultilevel"/>
    <w:lvl w:ilvl="0">
      <w:lvlJc w:val="left"/>
      <w:lvlText w:val="%1."/>
      <w:numFmt w:val="decimal"/>
      <w:start w:val="2"/>
    </w:lvl>
    <w:lvl w:ilvl="1">
      <w:lvlJc w:val="left"/>
      <w:lvlText w:val="(%2)"/>
      <w:numFmt w:val="lowerLetter"/>
      <w:start w:val="1"/>
    </w:lvl>
  </w:abstractNum>
  <w:abstractNum w:abstractNumId="77">
    <w:nsid w:val="C4C3AF"/>
    <w:multiLevelType w:val="hybridMultilevel"/>
    <w:lvl w:ilvl="0">
      <w:lvlJc w:val="left"/>
      <w:lvlText w:val="%1"/>
      <w:numFmt w:val="lowerRoman"/>
      <w:start w:val="1"/>
    </w:lvl>
    <w:lvl w:ilvl="1">
      <w:lvlJc w:val="left"/>
      <w:lvlText w:val="(%2)"/>
      <w:numFmt w:val="lowerLetter"/>
      <w:start w:val="3"/>
    </w:lvl>
  </w:abstractNum>
  <w:abstractNum w:abstractNumId="78">
    <w:nsid w:val="44380727"/>
    <w:multiLevelType w:val="hybridMultilevel"/>
    <w:lvl w:ilvl="0">
      <w:lvlJc w:val="left"/>
      <w:lvlText w:val="(%1)"/>
      <w:numFmt w:val="lowerRoman"/>
      <w:start w:val="2"/>
    </w:lvl>
    <w:lvl w:ilvl="1">
      <w:lvlJc w:val="left"/>
      <w:lvlText w:val="(%2)"/>
      <w:numFmt w:val="lowerLetter"/>
      <w:start w:val="4"/>
    </w:lvl>
  </w:abstractNum>
  <w:abstractNum w:abstractNumId="79">
    <w:nsid w:val="6C053B16"/>
    <w:multiLevelType w:val="hybridMultilevel"/>
    <w:lvl w:ilvl="0">
      <w:lvlJc w:val="left"/>
      <w:lvlText w:val="(%1)"/>
      <w:numFmt w:val="lowerRoman"/>
      <w:start w:val="2"/>
    </w:lvl>
    <w:lvl w:ilvl="1">
      <w:lvlJc w:val="left"/>
      <w:lvlText w:val="%2"/>
      <w:numFmt w:val="lowerLetter"/>
      <w:start w:val="1"/>
    </w:lvl>
  </w:abstractNum>
  <w:abstractNum w:abstractNumId="80">
    <w:nsid w:val="4F294393"/>
    <w:multiLevelType w:val="hybridMultilevel"/>
    <w:lvl w:ilvl="0">
      <w:lvlJc w:val="left"/>
      <w:lvlText w:val="(%1)"/>
      <w:numFmt w:val="decimal"/>
      <w:start w:val="20"/>
    </w:lvl>
  </w:abstractNum>
  <w:abstractNum w:abstractNumId="81">
    <w:nsid w:val="5243BFAC"/>
    <w:multiLevelType w:val="hybridMultilevel"/>
    <w:lvl w:ilvl="0">
      <w:lvlJc w:val="left"/>
      <w:lvlText w:val="(%1)"/>
      <w:numFmt w:val="lowerLetter"/>
      <w:start w:val="2"/>
    </w:lvl>
  </w:abstractNum>
  <w:abstractNum w:abstractNumId="82">
    <w:nsid w:val="425EB207"/>
    <w:multiLevelType w:val="hybridMultilevel"/>
    <w:lvl w:ilvl="0">
      <w:lvlJc w:val="left"/>
      <w:lvlText w:val="(%1)"/>
      <w:numFmt w:val="lowerLetter"/>
      <w:start w:val="1"/>
    </w:lvl>
  </w:abstractNum>
  <w:abstractNum w:abstractNumId="83">
    <w:nsid w:val="334A6F1F"/>
    <w:multiLevelType w:val="hybridMultilevel"/>
    <w:lvl w:ilvl="0">
      <w:lvlJc w:val="left"/>
      <w:lvlText w:val="(%1)"/>
      <w:numFmt w:val="lowerLetter"/>
      <w:start w:val="7"/>
    </w:lvl>
  </w:abstractNum>
  <w:abstractNum w:abstractNumId="84">
    <w:nsid w:val="2E5B12B8"/>
    <w:multiLevelType w:val="hybridMultilevel"/>
    <w:lvl w:ilvl="0">
      <w:lvlJc w:val="left"/>
      <w:lvlText w:val="(%1)"/>
      <w:numFmt w:val="lowerLetter"/>
      <w:start w:val="1"/>
    </w:lvl>
  </w:abstractNum>
  <w:abstractNum w:abstractNumId="85">
    <w:nsid w:val="5C03D76D"/>
    <w:multiLevelType w:val="hybridMultilevel"/>
    <w:lvl w:ilvl="0">
      <w:lvlJc w:val="left"/>
      <w:lvlText w:val="(%1)"/>
      <w:numFmt w:val="lowerLetter"/>
      <w:start w:val="4"/>
    </w:lvl>
  </w:abstractNum>
  <w:abstractNum w:abstractNumId="86">
    <w:nsid w:val="66A48D11"/>
    <w:multiLevelType w:val="hybridMultilevel"/>
    <w:lvl w:ilvl="0">
      <w:lvlJc w:val="left"/>
      <w:lvlText w:val="(%1)"/>
      <w:numFmt w:val="lowerLetter"/>
      <w:start w:val="6"/>
    </w:lvl>
  </w:abstractNum>
  <w:abstractNum w:abstractNumId="87">
    <w:nsid w:val="56C28E34"/>
    <w:multiLevelType w:val="hybridMultilevel"/>
    <w:lvl w:ilvl="0">
      <w:lvlJc w:val="left"/>
      <w:lvlText w:val="(%1)"/>
      <w:numFmt w:val="lowerLetter"/>
      <w:start w:val="1"/>
    </w:lvl>
  </w:abstractNum>
  <w:abstractNum w:abstractNumId="88">
    <w:nsid w:val="13916F2D"/>
    <w:multiLevelType w:val="hybridMultilevel"/>
    <w:lvl w:ilvl="0">
      <w:lvlJc w:val="left"/>
      <w:lvlText w:val="(%1)"/>
      <w:numFmt w:val="lowerLetter"/>
      <w:start w:val="1"/>
    </w:lvl>
  </w:abstractNum>
  <w:abstractNum w:abstractNumId="89">
    <w:nsid w:val="435D38D"/>
    <w:multiLevelType w:val="hybridMultilevel"/>
    <w:lvl w:ilvl="0">
      <w:lvlJc w:val="left"/>
      <w:lvlText w:val="(%1)"/>
      <w:numFmt w:val="lowerLetter"/>
      <w:start w:val="3"/>
    </w:lvl>
  </w:abstractNum>
  <w:abstractNum w:abstractNumId="90">
    <w:nsid w:val="822C0EF"/>
    <w:multiLevelType w:val="hybridMultilevel"/>
    <w:lvl w:ilvl="0">
      <w:lvlJc w:val="left"/>
      <w:lvlText w:val="(%1)"/>
      <w:numFmt w:val="lowerLetter"/>
      <w:start w:val="2"/>
    </w:lvl>
  </w:abstractNum>
  <w:abstractNum w:abstractNumId="91">
    <w:nsid w:val="57C5BB4F"/>
    <w:multiLevelType w:val="hybridMultilevel"/>
    <w:lvl w:ilvl="0">
      <w:lvlJc w:val="left"/>
      <w:lvlText w:val="%1."/>
      <w:numFmt w:val="decimal"/>
      <w:start w:val="3"/>
    </w:lvl>
  </w:abstractNum>
  <w:abstractNum w:abstractNumId="92">
    <w:nsid w:val="1803D089"/>
    <w:multiLevelType w:val="hybridMultilevel"/>
    <w:lvl w:ilvl="0">
      <w:lvlJc w:val="left"/>
      <w:lvlText w:val="%1"/>
      <w:numFmt w:val="lowerLetter"/>
      <w:start w:val="1"/>
    </w:lvl>
    <w:lvl w:ilvl="1">
      <w:lvlJc w:val="left"/>
      <w:lvlText w:val="(%2)"/>
      <w:numFmt w:val="lowerLetter"/>
      <w:start w:val="1"/>
    </w:lvl>
  </w:abstractNum>
  <w:abstractNum w:abstractNumId="93">
    <w:nsid w:val="4F3A06D4"/>
    <w:multiLevelType w:val="hybridMultilevel"/>
    <w:lvl w:ilvl="0">
      <w:lvlJc w:val="left"/>
      <w:lvlText w:val="(%1)"/>
      <w:numFmt w:val="lowerLetter"/>
      <w:start w:val="61"/>
    </w:lvl>
    <w:lvl w:ilvl="1">
      <w:lvlJc w:val="left"/>
      <w:lvlText w:val="(%2)"/>
      <w:numFmt w:val="lowerLetter"/>
      <w:start w:val="2"/>
    </w:lvl>
  </w:abstractNum>
  <w:abstractNum w:abstractNumId="94">
    <w:nsid w:val="59A377B6"/>
    <w:multiLevelType w:val="hybridMultilevel"/>
    <w:lvl w:ilvl="0">
      <w:lvlJc w:val="left"/>
      <w:lvlText w:val="%1."/>
      <w:numFmt w:val="decimal"/>
      <w:start w:val="4"/>
    </w:lvl>
  </w:abstractNum>
  <w:abstractNum w:abstractNumId="95">
    <w:nsid w:val="48AEB063"/>
    <w:multiLevelType w:val="hybridMultilevel"/>
    <w:lvl w:ilvl="0">
      <w:lvlJc w:val="left"/>
      <w:lvlText w:val="%1"/>
      <w:numFmt w:val="decimal"/>
      <w:start w:val="1"/>
    </w:lvl>
    <w:lvl w:ilvl="1">
      <w:lvlJc w:val="left"/>
      <w:lvlText w:val="(%2)"/>
      <w:numFmt w:val="lowerLetter"/>
      <w:start w:val="1"/>
    </w:lvl>
  </w:abstractNum>
  <w:abstractNum w:abstractNumId="96">
    <w:nsid w:val="24E135"/>
    <w:multiLevelType w:val="hybridMultilevel"/>
    <w:lvl w:ilvl="0">
      <w:lvlJc w:val="left"/>
      <w:lvlText w:val="(%1)"/>
      <w:numFmt w:val="decimal"/>
      <w:start w:val="20"/>
    </w:lvl>
    <w:lvl w:ilvl="1">
      <w:lvlJc w:val="left"/>
      <w:lvlText w:val="%2"/>
      <w:numFmt w:val="lowerLetter"/>
      <w:start w:val="1"/>
    </w:lvl>
  </w:abstractNum>
  <w:abstractNum w:abstractNumId="97">
    <w:nsid w:val="BB13C1"/>
    <w:multiLevelType w:val="hybridMultilevel"/>
    <w:lvl w:ilvl="0">
      <w:lvlJc w:val="left"/>
      <w:lvlText w:val="(%1)"/>
      <w:numFmt w:val="decimal"/>
      <w:start w:val="90"/>
    </w:lvl>
  </w:abstractNum>
  <w:abstractNum w:abstractNumId="98">
    <w:nsid w:val="271210C7"/>
    <w:multiLevelType w:val="hybridMultilevel"/>
    <w:lvl w:ilvl="0">
      <w:lvlJc w:val="left"/>
      <w:lvlText w:val="(%1)"/>
      <w:numFmt w:val="lowerLetter"/>
      <w:start w:val="3"/>
    </w:lvl>
  </w:abstractNum>
  <w:abstractNum w:abstractNumId="99">
    <w:nsid w:val="217B22E4"/>
    <w:multiLevelType w:val="hybridMultilevel"/>
    <w:lvl w:ilvl="0">
      <w:lvlJc w:val="left"/>
      <w:lvlText w:val="%1."/>
      <w:numFmt w:val="decimal"/>
      <w:start w:val="5"/>
    </w:lvl>
  </w:abstractNum>
  <w:abstractNum w:abstractNumId="100">
    <w:nsid w:val="53E31A24"/>
    <w:multiLevelType w:val="hybridMultilevel"/>
    <w:lvl w:ilvl="0">
      <w:lvlJc w:val="left"/>
      <w:lvlText w:val="(%1)"/>
      <w:numFmt w:val="lowerLetter"/>
      <w:start w:val="1"/>
    </w:lvl>
  </w:abstractNum>
  <w:abstractNum w:abstractNumId="101">
    <w:nsid w:val="6DC45E83"/>
    <w:multiLevelType w:val="hybridMultilevel"/>
    <w:lvl w:ilvl="0">
      <w:lvlJc w:val="left"/>
      <w:lvlText w:val="%1."/>
      <w:numFmt w:val="decimal"/>
      <w:start w:val="6"/>
    </w:lvl>
  </w:abstractNum>
  <w:abstractNum w:abstractNumId="102">
    <w:nsid w:val="17304A67"/>
    <w:multiLevelType w:val="hybridMultilevel"/>
    <w:lvl w:ilvl="0">
      <w:lvlJc w:val="left"/>
      <w:lvlText w:val="(%1)"/>
      <w:numFmt w:val="lowerLetter"/>
      <w:start w:val="1"/>
    </w:lvl>
  </w:abstractNum>
  <w:abstractNum w:abstractNumId="103">
    <w:nsid w:val="2BB180D8"/>
    <w:multiLevelType w:val="hybridMultilevel"/>
    <w:lvl w:ilvl="0">
      <w:lvlJc w:val="left"/>
      <w:lvlText w:val="%1."/>
      <w:numFmt w:val="decimal"/>
      <w:start w:val="1"/>
    </w:lvl>
  </w:abstractNum>
  <w:abstractNum w:abstractNumId="104">
    <w:nsid w:val="556B69ED"/>
    <w:multiLevelType w:val="hybridMultilevel"/>
    <w:lvl w:ilvl="0">
      <w:lvlJc w:val="left"/>
      <w:lvlText w:val="%1."/>
      <w:numFmt w:val="decimal"/>
      <w:start w:val="2"/>
    </w:lvl>
  </w:abstractNum>
  <w:abstractNum w:abstractNumId="105">
    <w:nsid w:val="70836196"/>
    <w:multiLevelType w:val="hybridMultilevel"/>
    <w:lvl w:ilvl="0">
      <w:lvlJc w:val="left"/>
      <w:lvlText w:val="%1."/>
      <w:numFmt w:val="decimal"/>
      <w:start w:val="3"/>
    </w:lvl>
  </w:abstractNum>
  <w:abstractNum w:abstractNumId="106">
    <w:nsid w:val="539F7F12"/>
    <w:multiLevelType w:val="hybridMultilevel"/>
    <w:lvl w:ilvl="0">
      <w:lvlJc w:val="left"/>
      <w:lvlText w:val="%1."/>
      <w:numFmt w:val="decimal"/>
      <w:start w:val="4"/>
    </w:lvl>
  </w:abstractNum>
  <w:abstractNum w:abstractNumId="107">
    <w:nsid w:val="2817E7EC"/>
    <w:multiLevelType w:val="hybridMultilevel"/>
    <w:lvl w:ilvl="0">
      <w:lvlJc w:val="left"/>
      <w:lvlText w:val="%1."/>
      <w:numFmt w:val="decimal"/>
      <w:start w:val="5"/>
    </w:lvl>
  </w:abstractNum>
  <w:abstractNum w:abstractNumId="108">
    <w:nsid w:val="71482545"/>
    <w:multiLevelType w:val="hybridMultilevel"/>
    <w:lvl w:ilvl="0">
      <w:lvlJc w:val="left"/>
      <w:lvlText w:val="%1."/>
      <w:numFmt w:val="decimal"/>
      <w:start w:val="6"/>
    </w:lvl>
  </w:abstractNum>
  <w:abstractNum w:abstractNumId="109">
    <w:nsid w:val="17D78639"/>
    <w:multiLevelType w:val="hybridMultilevel"/>
    <w:lvl w:ilvl="0">
      <w:lvlJc w:val="left"/>
      <w:lvlText w:val="%1."/>
      <w:numFmt w:val="decimal"/>
      <w:start w:val="7"/>
    </w:lvl>
  </w:abstractNum>
  <w:abstractNum w:abstractNumId="110">
    <w:nsid w:val="141D2302"/>
    <w:multiLevelType w:val="hybridMultilevel"/>
    <w:lvl w:ilvl="0">
      <w:lvlJc w:val="left"/>
      <w:lvlText w:val="%1."/>
      <w:numFmt w:val="decimal"/>
      <w:start w:val="8"/>
    </w:lvl>
  </w:abstractNum>
  <w:abstractNum w:abstractNumId="111">
    <w:nsid w:val="407168D8"/>
    <w:multiLevelType w:val="hybridMultilevel"/>
    <w:lvl w:ilvl="0">
      <w:lvlJc w:val="left"/>
      <w:lvlText w:val="%1."/>
      <w:numFmt w:val="decimal"/>
      <w:start w:val="9"/>
    </w:lvl>
  </w:abstractNum>
  <w:abstractNum w:abstractNumId="112">
    <w:nsid w:val="6A1B45E5"/>
    <w:multiLevelType w:val="hybridMultilevel"/>
    <w:lvl w:ilvl="0">
      <w:lvlJc w:val="left"/>
      <w:lvlText w:val="%1."/>
      <w:numFmt w:val="decimal"/>
      <w:start w:val="10"/>
    </w:lvl>
  </w:abstractNum>
  <w:abstractNum w:abstractNumId="113">
    <w:nsid w:val="567BD50A"/>
    <w:multiLevelType w:val="hybridMultilevel"/>
    <w:lvl w:ilvl="0">
      <w:lvlJc w:val="left"/>
      <w:lvlText w:val="%1."/>
      <w:numFmt w:val="decimal"/>
      <w:start w:val="1"/>
    </w:lvl>
  </w:abstractNum>
  <w:abstractNum w:abstractNumId="114">
    <w:nsid w:val="73BBD7F8"/>
    <w:multiLevelType w:val="hybridMultilevel"/>
    <w:lvl w:ilvl="0">
      <w:lvlJc w:val="left"/>
      <w:lvlText w:val="%1."/>
      <w:numFmt w:val="decimal"/>
      <w:start w:val="2"/>
    </w:lvl>
  </w:abstractNum>
  <w:abstractNum w:abstractNumId="115">
    <w:nsid w:val="1876589D"/>
    <w:multiLevelType w:val="hybridMultilevel"/>
    <w:lvl w:ilvl="0">
      <w:lvlJc w:val="left"/>
      <w:lvlText w:val="(%1)"/>
      <w:numFmt w:val="lowerLetter"/>
      <w:start w:val="2"/>
    </w:lvl>
  </w:abstractNum>
  <w:abstractNum w:abstractNumId="116">
    <w:nsid w:val="327FAC77"/>
    <w:multiLevelType w:val="hybridMultilevel"/>
    <w:lvl w:ilvl="0">
      <w:lvlJc w:val="left"/>
      <w:lvlText w:val="(%1)"/>
      <w:numFmt w:val="lowerLetter"/>
      <w:start w:val="4"/>
    </w:lvl>
    <w:lvl w:ilvl="1">
      <w:lvlJc w:val="left"/>
      <w:lvlText w:val="(%2)"/>
      <w:numFmt w:val="lowerRoman"/>
      <w:start w:val="1"/>
    </w:lvl>
  </w:abstractNum>
  <w:abstractNum w:abstractNumId="117">
    <w:nsid w:val="5A606509"/>
    <w:multiLevelType w:val="hybridMultilevel"/>
    <w:lvl w:ilvl="0">
      <w:lvlJc w:val="left"/>
      <w:lvlText w:val="%1."/>
      <w:numFmt w:val="decimal"/>
      <w:start w:val="3"/>
    </w:lvl>
  </w:abstractNum>
  <w:abstractNum w:abstractNumId="118">
    <w:nsid w:val="6F38E6D1"/>
    <w:multiLevelType w:val="hybridMultilevel"/>
    <w:lvl w:ilvl="0">
      <w:lvlJc w:val="left"/>
      <w:lvlText w:val="(%1)"/>
      <w:numFmt w:val="lowerLetter"/>
      <w:start w:val="2"/>
    </w:lvl>
  </w:abstractNum>
  <w:abstractNum w:abstractNumId="119">
    <w:nsid w:val="46111BA5"/>
    <w:multiLevelType w:val="hybridMultilevel"/>
    <w:lvl w:ilvl="0">
      <w:lvlJc w:val="left"/>
      <w:lvlText w:val="%1."/>
      <w:numFmt w:val="decimal"/>
      <w:start w:val="4"/>
    </w:lvl>
  </w:abstractNum>
  <w:abstractNum w:abstractNumId="120">
    <w:nsid w:val="5E963896"/>
    <w:multiLevelType w:val="hybridMultilevel"/>
    <w:lvl w:ilvl="0">
      <w:lvlJc w:val="left"/>
      <w:lvlText w:val="%1."/>
      <w:numFmt w:val="decimal"/>
      <w:start w:val="5"/>
    </w:lvl>
  </w:abstractNum>
  <w:abstractNum w:abstractNumId="121">
    <w:nsid w:val="775BA7C1"/>
    <w:multiLevelType w:val="hybridMultilevel"/>
    <w:lvl w:ilvl="0">
      <w:lvlJc w:val="left"/>
      <w:lvlText w:val="%1."/>
      <w:numFmt w:val="decimal"/>
      <w:start w:val="6"/>
    </w:lvl>
  </w:abstractNum>
  <w:abstractNum w:abstractNumId="122">
    <w:nsid w:val="1DD6D6F4"/>
    <w:multiLevelType w:val="hybridMultilevel"/>
    <w:lvl w:ilvl="0">
      <w:lvlJc w:val="left"/>
      <w:lvlText w:val="%1."/>
      <w:numFmt w:val="decimal"/>
      <w:start w:val="7"/>
    </w:lvl>
  </w:abstractNum>
  <w:abstractNum w:abstractNumId="123">
    <w:nsid w:val="769A091F"/>
    <w:multiLevelType w:val="hybridMultilevel"/>
    <w:lvl w:ilvl="0">
      <w:lvlJc w:val="left"/>
      <w:lvlText w:val="%1."/>
      <w:numFmt w:val="decimal"/>
      <w:start w:val="8"/>
    </w:lvl>
  </w:abstractNum>
  <w:abstractNum w:abstractNumId="124">
    <w:nsid w:val="4695AE95"/>
    <w:multiLevelType w:val="hybridMultilevel"/>
    <w:lvl w:ilvl="0">
      <w:lvlJc w:val="left"/>
      <w:lvlText w:val="%1."/>
      <w:numFmt w:val="decimal"/>
      <w:start w:val="9"/>
    </w:lvl>
  </w:abstractNum>
  <w:abstractNum w:abstractNumId="125">
    <w:nsid w:val="777A4EAA"/>
    <w:multiLevelType w:val="hybridMultilevel"/>
    <w:lvl w:ilvl="0">
      <w:lvlJc w:val="left"/>
      <w:lvlText w:val="%1."/>
      <w:numFmt w:val="decimal"/>
      <w:start w:val="10"/>
    </w:lvl>
  </w:abstractNum>
  <w:abstractNum w:abstractNumId="126">
    <w:nsid w:val="3F48B982"/>
    <w:multiLevelType w:val="hybridMultilevel"/>
    <w:lvl w:ilvl="0">
      <w:lvlJc w:val="left"/>
      <w:lvlText w:val="(%1)"/>
      <w:numFmt w:val="lowerLetter"/>
      <w:start w:val="1"/>
    </w:lvl>
  </w:abstractNum>
  <w:abstractNum w:abstractNumId="127">
    <w:nsid w:val="46BA8FCA"/>
    <w:multiLevelType w:val="hybridMultilevel"/>
    <w:lvl w:ilvl="0">
      <w:lvlJc w:val="left"/>
      <w:lvlText w:val="(%1)"/>
      <w:numFmt w:val="decimal"/>
      <w:start w:val="1"/>
    </w:lvl>
  </w:abstractNum>
  <w:abstractNum w:abstractNumId="128">
    <w:nsid w:val="7835626C"/>
    <w:multiLevelType w:val="hybridMultilevel"/>
    <w:lvl w:ilvl="0">
      <w:lvlJc w:val="left"/>
      <w:lvlText w:val="(%1)"/>
      <w:numFmt w:val="decimal"/>
      <w:start w:val="3"/>
    </w:lvl>
  </w:abstractNum>
  <w:abstractNum w:abstractNumId="129">
    <w:nsid w:val="665ACA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0">
    <w:nsid w:val="6835B2AE"/>
    <w:multiLevelType w:val="hybridMultilevel"/>
    <w:lvl w:ilvl="0">
      <w:lvlJc w:val="left"/>
      <w:lvlText w:val="(%1)"/>
      <w:numFmt w:val="lowerRoman"/>
      <w:start w:val="4"/>
    </w:lvl>
  </w:abstractNum>
  <w:abstractNum w:abstractNumId="131">
    <w:nsid w:val="4C187C90"/>
    <w:multiLevelType w:val="hybridMultilevel"/>
    <w:lvl w:ilvl="0">
      <w:lvlJc w:val="left"/>
      <w:lvlText w:val="%1"/>
      <w:numFmt w:val="lowerLetter"/>
      <w:start w:val="1"/>
    </w:lvl>
    <w:lvl w:ilvl="1">
      <w:lvlJc w:val="left"/>
      <w:lvlText w:val="(%2)"/>
      <w:numFmt w:val="lowerRoman"/>
      <w:start w:val="10"/>
    </w:lvl>
  </w:abstractNum>
  <w:abstractNum w:abstractNumId="132">
    <w:nsid w:val="541F28CD"/>
    <w:multiLevelType w:val="hybridMultilevel"/>
    <w:lvl w:ilvl="0">
      <w:lvlJc w:val="left"/>
      <w:lvlText w:val="(%1)"/>
      <w:numFmt w:val="lowerLetter"/>
      <w:start w:val="3"/>
    </w:lvl>
    <w:lvl w:ilvl="1">
      <w:lvlJc w:val="left"/>
      <w:lvlText w:val="%2"/>
      <w:numFmt w:val="lowerRoman"/>
      <w:start w:val="1"/>
    </w:lvl>
  </w:abstractNum>
  <w:abstractNum w:abstractNumId="133">
    <w:nsid w:val="7F65FD16"/>
    <w:multiLevelType w:val="hybridMultilevel"/>
    <w:lvl w:ilvl="0">
      <w:lvlJc w:val="left"/>
      <w:lvlText w:val="%1."/>
      <w:numFmt w:val="decimal"/>
      <w:start w:val="3"/>
    </w:lvl>
    <w:lvl w:ilvl="1">
      <w:lvlJc w:val="left"/>
      <w:lvlText w:val="(%2)"/>
      <w:numFmt w:val="lowerLetter"/>
      <w:start w:val="1"/>
    </w:lvl>
  </w:abstractNum>
  <w:abstractNum w:abstractNumId="134">
    <w:nsid w:val="77C9FD68"/>
    <w:multiLevelType w:val="hybridMultilevel"/>
    <w:lvl w:ilvl="0">
      <w:lvlJc w:val="left"/>
      <w:lvlText w:val="%1"/>
      <w:numFmt w:val="decimal"/>
      <w:start w:val="1"/>
    </w:lvl>
    <w:lvl w:ilvl="1">
      <w:lvlJc w:val="left"/>
      <w:lvlText w:val="(%2)"/>
      <w:numFmt w:val="lowerLetter"/>
      <w:start w:val="2"/>
    </w:lvl>
  </w:abstractNum>
  <w:abstractNum w:abstractNumId="135">
    <w:nsid w:val="298A92BA"/>
    <w:multiLevelType w:val="hybridMultilevel"/>
    <w:lvl w:ilvl="0">
      <w:lvlJc w:val="left"/>
      <w:lvlText w:val="%1."/>
      <w:numFmt w:val="decimal"/>
      <w:start w:val="5"/>
    </w:lvl>
    <w:lvl w:ilvl="1">
      <w:lvlJc w:val="left"/>
      <w:lvlText w:val="%2"/>
      <w:numFmt w:val="lowerLetter"/>
      <w:start w:val="1"/>
    </w:lvl>
  </w:abstractNum>
  <w:abstractNum w:abstractNumId="136">
    <w:nsid w:val="6FE95EAC"/>
    <w:multiLevelType w:val="hybridMultilevel"/>
    <w:lvl w:ilvl="0">
      <w:lvlJc w:val="left"/>
      <w:lvlText w:val="(%1)"/>
      <w:numFmt w:val="lowerLetter"/>
      <w:start w:val="1"/>
    </w:lvl>
  </w:abstractNum>
  <w:abstractNum w:abstractNumId="137">
    <w:nsid w:val="4B697C7A"/>
    <w:multiLevelType w:val="hybridMultilevel"/>
    <w:lvl w:ilvl="0">
      <w:lvlJc w:val="left"/>
      <w:lvlText w:val="(%1)"/>
      <w:numFmt w:val="lowerLetter"/>
      <w:start w:val="3"/>
    </w:lvl>
    <w:lvl w:ilvl="1">
      <w:lvlJc w:val="left"/>
      <w:lvlText w:val="(%2)"/>
      <w:numFmt w:val="lowerRoman"/>
      <w:start w:val="1"/>
    </w:lvl>
  </w:abstractNum>
  <w:abstractNum w:abstractNumId="138">
    <w:nsid w:val="51A27AA6"/>
    <w:multiLevelType w:val="hybridMultilevel"/>
    <w:lvl w:ilvl="0">
      <w:lvlJc w:val="left"/>
      <w:lvlText w:val="(%1)"/>
      <w:numFmt w:val="lowerLetter"/>
      <w:start w:val="4"/>
    </w:lvl>
    <w:lvl w:ilvl="1">
      <w:lvlJc w:val="left"/>
      <w:lvlText w:val="(%2)"/>
      <w:numFmt w:val="lowerRoman"/>
      <w:start w:val="1"/>
    </w:lvl>
  </w:abstractNum>
  <w:abstractNum w:abstractNumId="139">
    <w:nsid w:val="613183F2"/>
    <w:multiLevelType w:val="hybridMultilevel"/>
    <w:lvl w:ilvl="0">
      <w:lvlJc w:val="left"/>
      <w:lvlText w:val="(%1)"/>
      <w:numFmt w:val="lowerLetter"/>
      <w:start w:val="7"/>
    </w:lvl>
  </w:abstractNum>
  <w:abstractNum w:abstractNumId="140">
    <w:nsid w:val="634102B4"/>
    <w:multiLevelType w:val="hybridMultilevel"/>
    <w:lvl w:ilvl="0">
      <w:lvlJc w:val="left"/>
      <w:lvlText w:val="%1"/>
      <w:numFmt w:val="decimal"/>
      <w:start w:val="1"/>
    </w:lvl>
    <w:lvl w:ilvl="1">
      <w:lvlJc w:val="left"/>
      <w:lvlText w:val="(%2)"/>
      <w:numFmt w:val="lowerLetter"/>
      <w:start w:val="10"/>
    </w:lvl>
  </w:abstractNum>
  <w:abstractNum w:abstractNumId="141">
    <w:nsid w:val="65BF9DA8"/>
    <w:multiLevelType w:val="hybridMultilevel"/>
    <w:lvl w:ilvl="0">
      <w:lvlJc w:val="left"/>
      <w:lvlText w:val="(%1)"/>
      <w:numFmt w:val="decimal"/>
      <w:start w:val="18"/>
    </w:lvl>
    <w:lvl w:ilvl="1">
      <w:lvlJc w:val="left"/>
      <w:lvlText w:val="(%2)"/>
      <w:numFmt w:val="lowerLetter"/>
      <w:start w:val="11"/>
    </w:lvl>
  </w:abstractNum>
  <w:abstractNum w:abstractNumId="142">
    <w:nsid w:val="21A2ECCA"/>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143">
    <w:nsid w:val="4D5C489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4">
    <w:nsid w:val="3C3B72B2"/>
    <w:multiLevelType w:val="hybridMultilevel"/>
    <w:lvl w:ilvl="0">
      <w:lvlJc w:val="left"/>
      <w:lvlText w:val="%1"/>
      <w:numFmt w:val="lowerLetter"/>
      <w:start w:val="1"/>
    </w:lvl>
    <w:lvl w:ilvl="1">
      <w:lvlJc w:val="left"/>
      <w:lvlText w:val="(%2)"/>
      <w:numFmt w:val="lowerRoman"/>
      <w:start w:val="4"/>
    </w:lvl>
  </w:abstractNum>
  <w:abstractNum w:abstractNumId="145">
    <w:nsid w:val="155EC4C2"/>
    <w:multiLevelType w:val="hybridMultilevel"/>
    <w:lvl w:ilvl="0">
      <w:lvlJc w:val="left"/>
      <w:lvlText w:val="(%1)"/>
      <w:numFmt w:val="lowerLetter"/>
      <w:start w:val="2"/>
    </w:lvl>
    <w:lvl w:ilvl="1">
      <w:lvlJc w:val="left"/>
      <w:lvlText w:val="(%2)"/>
      <w:numFmt w:val="lowerRoman"/>
      <w:start w:val="1"/>
    </w:lvl>
  </w:abstractNum>
  <w:abstractNum w:abstractNumId="146">
    <w:nsid w:val="65D2A13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47">
    <w:nsid w:val="6EBB1F2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8">
    <w:nsid w:val="6FBF29CB"/>
    <w:multiLevelType w:val="hybridMultilevel"/>
    <w:lvl w:ilvl="0">
      <w:lvlJc w:val="left"/>
      <w:lvlText w:val="%1."/>
      <w:numFmt w:val="decimal"/>
      <w:start w:val="8"/>
    </w:lvl>
    <w:lvl w:ilvl="1">
      <w:lvlJc w:val="left"/>
      <w:lvlText w:val="(%2)"/>
      <w:numFmt w:val="lowerLetter"/>
      <w:start w:val="1"/>
    </w:lvl>
  </w:abstractNum>
  <w:abstractNum w:abstractNumId="149">
    <w:nsid w:val="550B8808"/>
    <w:multiLevelType w:val="hybridMultilevel"/>
    <w:lvl w:ilvl="0">
      <w:lvlJc w:val="left"/>
      <w:lvlText w:val="(%1)"/>
      <w:numFmt w:val="lowerLetter"/>
      <w:start w:val="7"/>
    </w:lvl>
  </w:abstractNum>
  <w:abstractNum w:abstractNumId="150">
    <w:nsid w:val="34CC3ACF"/>
    <w:multiLevelType w:val="hybridMultilevel"/>
    <w:lvl w:ilvl="0">
      <w:lvlJc w:val="left"/>
      <w:lvlText w:val="(%1)"/>
      <w:numFmt w:val="lowerLetter"/>
      <w:start w:val="10"/>
    </w:lvl>
  </w:abstractNum>
  <w:abstractNum w:abstractNumId="151">
    <w:nsid w:val="4E556261"/>
    <w:multiLevelType w:val="hybridMultilevel"/>
    <w:lvl w:ilvl="0">
      <w:lvlJc w:val="left"/>
      <w:lvlText w:val="(%1)"/>
      <w:numFmt w:val="lowerLetter"/>
      <w:start w:val="12"/>
    </w:lvl>
  </w:abstractNum>
  <w:abstractNum w:abstractNumId="152">
    <w:nsid w:val="4C672FC9"/>
    <w:multiLevelType w:val="hybridMultilevel"/>
    <w:lvl w:ilvl="0">
      <w:lvlJc w:val="left"/>
      <w:lvlText w:val="%1"/>
      <w:numFmt w:val="decimal"/>
      <w:start w:val="1"/>
    </w:lvl>
    <w:lvl w:ilvl="1">
      <w:lvlJc w:val="left"/>
      <w:lvlText w:val="(%2)"/>
      <w:numFmt w:val="lowerLetter"/>
      <w:start w:val="13"/>
    </w:lvl>
  </w:abstractNum>
  <w:abstractNum w:abstractNumId="153">
    <w:nsid w:val="52A311C3"/>
    <w:multiLevelType w:val="hybridMultilevel"/>
    <w:lvl w:ilvl="0">
      <w:lvlJc w:val="left"/>
      <w:lvlText w:val="%1."/>
      <w:numFmt w:val="decimal"/>
      <w:start w:val="9"/>
    </w:lvl>
    <w:lvl w:ilvl="1">
      <w:lvlJc w:val="left"/>
      <w:lvlText w:val="(%2)"/>
      <w:numFmt w:val="lowerLetter"/>
      <w:start w:val="1"/>
    </w:lvl>
  </w:abstractNum>
  <w:abstractNum w:abstractNumId="154">
    <w:nsid w:val="44EF6B80"/>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55">
    <w:nsid w:val="12FCDE5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6">
    <w:nsid w:val="4A1D606E"/>
    <w:multiLevelType w:val="hybridMultilevel"/>
    <w:lvl w:ilvl="0">
      <w:lvlJc w:val="left"/>
      <w:lvlText w:val="%1"/>
      <w:numFmt w:val="decimal"/>
      <w:start w:val="1"/>
    </w:lvl>
    <w:lvl w:ilvl="1">
      <w:lvlJc w:val="left"/>
      <w:lvlText w:val="(%2)"/>
      <w:numFmt w:val="lowerLetter"/>
      <w:start w:val="4"/>
    </w:lvl>
  </w:abstractNum>
  <w:abstractNum w:abstractNumId="157">
    <w:nsid w:val="4382503"/>
    <w:multiLevelType w:val="hybridMultilevel"/>
    <w:lvl w:ilvl="0">
      <w:lvlJc w:val="left"/>
      <w:lvlText w:val="%1."/>
      <w:numFmt w:val="decimal"/>
      <w:start w:val="10"/>
    </w:lvl>
    <w:lvl w:ilvl="1">
      <w:lvlJc w:val="left"/>
      <w:lvlText w:val="(%2)"/>
      <w:numFmt w:val="lowerLetter"/>
      <w:start w:val="1"/>
    </w:lvl>
  </w:abstractNum>
  <w:abstractNum w:abstractNumId="158">
    <w:nsid w:val="59B76E28"/>
    <w:multiLevelType w:val="hybridMultilevel"/>
    <w:lvl w:ilvl="0">
      <w:lvlJc w:val="left"/>
      <w:lvlText w:val="%1."/>
      <w:numFmt w:val="decimal"/>
      <w:start w:val="12"/>
    </w:lvl>
  </w:abstractNum>
  <w:abstractNum w:abstractNumId="159">
    <w:nsid w:val="4252C2DA"/>
    <w:multiLevelType w:val="hybridMultilevel"/>
    <w:lvl w:ilvl="0">
      <w:lvlJc w:val="left"/>
      <w:lvlText w:val="%1."/>
      <w:numFmt w:val="decimal"/>
      <w:start w:val="13"/>
    </w:lvl>
    <w:lvl w:ilvl="1">
      <w:lvlJc w:val="left"/>
      <w:lvlText w:val="(%2)"/>
      <w:numFmt w:val="lowerLetter"/>
      <w:start w:val="1"/>
    </w:lvl>
  </w:abstractNum>
  <w:abstractNum w:abstractNumId="160">
    <w:nsid w:val="6A92EF4C"/>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161">
    <w:nsid w:val="41ED20D7"/>
    <w:multiLevelType w:val="hybridMultilevel"/>
    <w:lvl w:ilvl="0">
      <w:lvlJc w:val="left"/>
      <w:lvlText w:val="(%1)"/>
      <w:numFmt w:val="lowerRoman"/>
      <w:start w:val="4"/>
    </w:lvl>
    <w:lvl w:ilvl="1">
      <w:lvlJc w:val="left"/>
      <w:lvlText w:val="(%2)"/>
      <w:numFmt w:val="lowerLetter"/>
      <w:start w:val="5"/>
    </w:lvl>
    <w:lvl w:ilvl="2">
      <w:lvlJc w:val="left"/>
      <w:lvlText w:val="(%3)"/>
      <w:numFmt w:val="lowerLetter"/>
      <w:start w:val="9"/>
    </w:lvl>
  </w:abstractNum>
  <w:abstractNum w:abstractNumId="162">
    <w:nsid w:val="E6B3F6A"/>
    <w:multiLevelType w:val="hybridMultilevel"/>
    <w:lvl w:ilvl="0">
      <w:lvlJc w:val="left"/>
      <w:lvlText w:val="(%1)"/>
      <w:numFmt w:val="lowerRoman"/>
      <w:start w:val="2"/>
    </w:lvl>
  </w:abstractNum>
  <w:abstractNum w:abstractNumId="163">
    <w:nsid w:val="3EB21819"/>
    <w:multiLevelType w:val="hybridMultilevel"/>
    <w:lvl w:ilvl="0">
      <w:lvlJc w:val="left"/>
      <w:lvlText w:val="(%1)"/>
      <w:numFmt w:val="lowerLetter"/>
      <w:start w:val="6"/>
    </w:lvl>
  </w:abstractNum>
  <w:abstractNum w:abstractNumId="164">
    <w:nsid w:val="41531DED"/>
    <w:multiLevelType w:val="hybridMultilevel"/>
    <w:lvl w:ilvl="0">
      <w:lvlJc w:val="left"/>
      <w:lvlText w:val="(%1)"/>
      <w:numFmt w:val="lowerLetter"/>
      <w:start w:val="11"/>
    </w:lvl>
    <w:lvl w:ilvl="1">
      <w:lvlJc w:val="left"/>
      <w:lvlText w:val="(%2)"/>
      <w:numFmt w:val="lowerRoman"/>
      <w:start w:val="1"/>
    </w:lvl>
  </w:abstractNum>
  <w:abstractNum w:abstractNumId="165">
    <w:nsid w:val="6353CD2"/>
    <w:multiLevelType w:val="hybridMultilevel"/>
    <w:lvl w:ilvl="0">
      <w:lvlJc w:val="left"/>
      <w:lvlText w:val="(%1)"/>
      <w:numFmt w:val="lowerLetter"/>
      <w:start w:val="15"/>
    </w:lvl>
  </w:abstractNum>
  <w:abstractNum w:abstractNumId="166">
    <w:nsid w:val="683CAAD3"/>
    <w:multiLevelType w:val="hybridMultilevel"/>
    <w:lvl w:ilvl="0">
      <w:lvlJc w:val="left"/>
      <w:lvlText w:val="(%1)"/>
      <w:numFmt w:val="lowerLetter"/>
      <w:start w:val="27"/>
    </w:lvl>
  </w:abstractNum>
  <w:abstractNum w:abstractNumId="167">
    <w:nsid w:val="313C7C99"/>
    <w:multiLevelType w:val="hybridMultilevel"/>
    <w:lvl w:ilvl="0">
      <w:lvlJc w:val="left"/>
      <w:lvlText w:val="(%1)"/>
      <w:numFmt w:val="lowerLetter"/>
      <w:start w:val="20"/>
    </w:lvl>
  </w:abstractNum>
  <w:abstractNum w:abstractNumId="168">
    <w:nsid w:val="519EB94C"/>
    <w:multiLevelType w:val="hybridMultilevel"/>
    <w:lvl w:ilvl="0">
      <w:lvlJc w:val="left"/>
      <w:lvlText w:val="(%1)"/>
      <w:numFmt w:val="lowerLetter"/>
      <w:start w:val="30"/>
    </w:lvl>
  </w:abstractNum>
  <w:abstractNum w:abstractNumId="169">
    <w:nsid w:val="39DF2579"/>
    <w:multiLevelType w:val="hybridMultilevel"/>
    <w:lvl w:ilvl="0">
      <w:lvlJc w:val="left"/>
      <w:lvlText w:val="%1"/>
      <w:numFmt w:val="lowerLetter"/>
      <w:start w:val="1"/>
    </w:lvl>
    <w:lvl w:ilvl="1">
      <w:lvlJc w:val="left"/>
      <w:lvlText w:val="(%2)"/>
      <w:numFmt w:val="lowerLetter"/>
      <w:start w:val="38"/>
    </w:lvl>
  </w:abstractNum>
  <w:abstractNum w:abstractNumId="170">
    <w:nsid w:val="126E008B"/>
    <w:multiLevelType w:val="hybridMultilevel"/>
    <w:lvl w:ilvl="0">
      <w:lvlJc w:val="left"/>
      <w:lvlText w:val="(%1)"/>
      <w:numFmt w:val="lowerLetter"/>
      <w:start w:val="35"/>
    </w:lvl>
    <w:lvl w:ilvl="1">
      <w:lvlJc w:val="left"/>
      <w:lvlText w:val="(%2)"/>
      <w:numFmt w:val="lowerLetter"/>
      <w:start w:val="41"/>
    </w:lvl>
  </w:abstractNum>
  <w:abstractNum w:abstractNumId="171">
    <w:nsid w:val="34DFBC0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2">
    <w:nsid w:val="1F9EC32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73">
    <w:nsid w:val="3410ED56"/>
    <w:multiLevelType w:val="hybridMultilevel"/>
    <w:lvl w:ilvl="0">
      <w:lvlJc w:val="left"/>
      <w:lvlText w:val="%1."/>
      <w:numFmt w:val="decimal"/>
      <w:start w:val="5"/>
    </w:lvl>
    <w:lvl w:ilvl="1">
      <w:lvlJc w:val="left"/>
      <w:lvlText w:val="(%2)"/>
      <w:numFmt w:val="lowerLetter"/>
      <w:start w:val="1"/>
    </w:lvl>
  </w:abstractNum>
  <w:abstractNum w:abstractNumId="174">
    <w:nsid w:val="23C049A"/>
    <w:multiLevelType w:val="hybridMultilevel"/>
    <w:lvl w:ilvl="0">
      <w:lvlJc w:val="left"/>
      <w:lvlText w:val="%1."/>
      <w:numFmt w:val="decimal"/>
      <w:start w:val="9"/>
    </w:lvl>
    <w:lvl w:ilvl="1">
      <w:lvlJc w:val="left"/>
      <w:lvlText w:val="(%2)"/>
      <w:numFmt w:val="lowerLetter"/>
      <w:start w:val="1"/>
    </w:lvl>
  </w:abstractNum>
  <w:abstractNum w:abstractNumId="175">
    <w:nsid w:val="5BDA35D4"/>
    <w:multiLevelType w:val="hybridMultilevel"/>
    <w:lvl w:ilvl="0">
      <w:lvlJc w:val="left"/>
      <w:lvlText w:val="%1."/>
      <w:numFmt w:val="decimal"/>
      <w:start w:val="11"/>
    </w:lvl>
    <w:lvl w:ilvl="1">
      <w:lvlJc w:val="left"/>
      <w:lvlText w:val="(%2)"/>
      <w:numFmt w:val="lowerLetter"/>
      <w:start w:val="1"/>
    </w:lvl>
  </w:abstractNum>
  <w:abstractNum w:abstractNumId="176">
    <w:nsid w:val="496FB218"/>
    <w:multiLevelType w:val="hybridMultilevel"/>
    <w:lvl w:ilvl="0">
      <w:lvlJc w:val="left"/>
      <w:lvlText w:val="%1"/>
      <w:numFmt w:val="decimal"/>
      <w:start w:val="1"/>
    </w:lvl>
    <w:lvl w:ilvl="1">
      <w:lvlJc w:val="left"/>
      <w:lvlText w:val="(%2)"/>
      <w:numFmt w:val="lowerLetter"/>
      <w:start w:val="3"/>
    </w:lvl>
  </w:abstractNum>
  <w:abstractNum w:abstractNumId="177">
    <w:nsid w:val="680EA5D1"/>
    <w:multiLevelType w:val="hybridMultilevel"/>
    <w:lvl w:ilvl="0">
      <w:lvlJc w:val="left"/>
      <w:lvlText w:val="%1."/>
      <w:numFmt w:val="decimal"/>
      <w:start w:val="15"/>
    </w:lvl>
    <w:lvl w:ilvl="1">
      <w:lvlJc w:val="left"/>
      <w:lvlText w:val="%2"/>
      <w:numFmt w:val="lowerLetter"/>
      <w:start w:val="1"/>
    </w:lvl>
  </w:abstractNum>
  <w:abstractNum w:abstractNumId="178">
    <w:nsid w:val="4A9554FE"/>
    <w:multiLevelType w:val="hybridMultilevel"/>
    <w:lvl w:ilvl="0">
      <w:lvlJc w:val="left"/>
      <w:lvlText w:val="%1."/>
      <w:numFmt w:val="decimal"/>
      <w:start w:val="1"/>
    </w:lvl>
    <w:lvl w:ilvl="1">
      <w:lvlJc w:val="left"/>
      <w:lvlText w:val="(%2)"/>
      <w:numFmt w:val="lowerLetter"/>
      <w:start w:val="1"/>
    </w:lvl>
  </w:abstractNum>
  <w:abstractNum w:abstractNumId="179">
    <w:nsid w:val="392EDBE4"/>
    <w:multiLevelType w:val="hybridMultilevel"/>
    <w:lvl w:ilvl="0">
      <w:lvlJc w:val="left"/>
      <w:lvlText w:val="(%1)"/>
      <w:numFmt w:val="lowerLetter"/>
      <w:start w:val="4"/>
    </w:lvl>
  </w:abstractNum>
  <w:abstractNum w:abstractNumId="180">
    <w:nsid w:val="3D1A2DD9"/>
    <w:multiLevelType w:val="hybridMultilevel"/>
    <w:lvl w:ilvl="0">
      <w:lvlJc w:val="left"/>
      <w:lvlText w:val="%1."/>
      <w:numFmt w:val="decimal"/>
      <w:start w:val="2"/>
    </w:lvl>
    <w:lvl w:ilvl="1">
      <w:lvlJc w:val="left"/>
      <w:lvlText w:val="(%2)"/>
      <w:numFmt w:val="lowerRoman"/>
      <w:start w:val="1"/>
    </w:lvl>
  </w:abstractNum>
  <w:abstractNum w:abstractNumId="181">
    <w:nsid w:val="7F618FCD"/>
    <w:multiLevelType w:val="hybridMultilevel"/>
    <w:lvl w:ilvl="0">
      <w:lvlJc w:val="left"/>
      <w:lvlText w:val="%1"/>
      <w:numFmt w:val="decimal"/>
      <w:start w:val="1"/>
    </w:lvl>
    <w:lvl w:ilvl="1">
      <w:lvlJc w:val="left"/>
      <w:lvlText w:val="(%2)"/>
      <w:numFmt w:val="lowerRoman"/>
      <w:start w:val="4"/>
    </w:lvl>
  </w:abstractNum>
  <w:abstractNum w:abstractNumId="182">
    <w:nsid w:val="7843E45"/>
    <w:multiLevelType w:val="hybridMultilevel"/>
    <w:lvl w:ilvl="0">
      <w:lvlJc w:val="left"/>
      <w:lvlText w:val="%1."/>
      <w:numFmt w:val="decimal"/>
      <w:start w:val="5"/>
    </w:lvl>
    <w:lvl w:ilvl="1">
      <w:lvlJc w:val="left"/>
      <w:lvlText w:val="(%2)"/>
      <w:numFmt w:val="lowerRoman"/>
      <w:start w:val="1"/>
    </w:lvl>
  </w:abstractNum>
  <w:abstractNum w:abstractNumId="183">
    <w:nsid w:val="9815DA3"/>
    <w:multiLevelType w:val="hybridMultilevel"/>
    <w:lvl w:ilvl="0">
      <w:lvlJc w:val="left"/>
      <w:lvlText w:val="(%1)"/>
      <w:numFmt w:val="lowerRoman"/>
      <w:start w:val="3"/>
    </w:lvl>
  </w:abstractNum>
  <w:abstractNum w:abstractNumId="184">
    <w:nsid w:val="5204A191"/>
    <w:multiLevelType w:val="hybridMultilevel"/>
    <w:lvl w:ilvl="0">
      <w:lvlJc w:val="left"/>
      <w:lvlText w:val="%1."/>
      <w:numFmt w:val="decimal"/>
      <w:start w:val="9"/>
    </w:lvl>
    <w:lvl w:ilvl="1">
      <w:lvlJc w:val="left"/>
      <w:lvlText w:val="(%2)"/>
      <w:numFmt w:val="lowerRoman"/>
      <w:start w:val="1"/>
    </w:lvl>
  </w:abstractNum>
  <w:abstractNum w:abstractNumId="185">
    <w:nsid w:val="4C73A9C6"/>
    <w:multiLevelType w:val="hybridMultilevel"/>
    <w:lvl w:ilvl="0">
      <w:lvlJc w:val="left"/>
      <w:lvlText w:val="%1."/>
      <w:numFmt w:val="decimal"/>
      <w:start w:val="10"/>
    </w:lvl>
    <w:lvl w:ilvl="1">
      <w:lvlJc w:val="left"/>
      <w:lvlText w:val="(%2)"/>
      <w:numFmt w:val="lowerRoman"/>
      <w:start w:val="1"/>
    </w:lvl>
  </w:abstractNum>
  <w:abstractNum w:abstractNumId="186">
    <w:nsid w:val="1C7E3C01"/>
    <w:multiLevelType w:val="hybridMultilevel"/>
    <w:lvl w:ilvl="0">
      <w:lvlJc w:val="left"/>
      <w:lvlText w:val="%1"/>
      <w:numFmt w:val="decimal"/>
      <w:start w:val="1"/>
    </w:lvl>
    <w:lvl w:ilvl="1">
      <w:lvlJc w:val="left"/>
      <w:lvlText w:val="(%2)"/>
      <w:numFmt w:val="lowerRoman"/>
      <w:start w:val="3"/>
    </w:lvl>
  </w:abstractNum>
  <w:abstractNum w:abstractNumId="187">
    <w:nsid w:val="1C2201FF"/>
    <w:multiLevelType w:val="hybridMultilevel"/>
    <w:lvl w:ilvl="0">
      <w:lvlJc w:val="left"/>
      <w:lvlText w:val="%1."/>
      <w:numFmt w:val="decimal"/>
      <w:start w:val="15"/>
    </w:lvl>
    <w:lvl w:ilvl="1">
      <w:lvlJc w:val="left"/>
      <w:lvlText w:val="%2"/>
      <w:numFmt w:val="lowerRoman"/>
      <w:start w:val="1"/>
    </w:lvl>
  </w:abstractNum>
  <w:abstractNum w:abstractNumId="188">
    <w:nsid w:val="50ABCEC9"/>
    <w:multiLevelType w:val="hybridMultilevel"/>
    <w:lvl w:ilvl="0">
      <w:lvlJc w:val="left"/>
      <w:lvlText w:val="("/>
      <w:numFmt w:val="bullet"/>
      <w:start w:val="1"/>
    </w:lvl>
  </w:abstractNum>
  <w:abstractNum w:abstractNumId="189">
    <w:nsid w:val="7635AA2A"/>
    <w:multiLevelType w:val="hybridMultilevel"/>
    <w:lvl w:ilvl="0">
      <w:lvlJc w:val="left"/>
      <w:lvlText w:val="(%1)"/>
      <w:numFmt w:val="lowerRoman"/>
      <w:start w:val="1"/>
    </w:lvl>
  </w:abstractNum>
  <w:abstractNum w:abstractNumId="190">
    <w:nsid w:val="5E74C4D9"/>
    <w:multiLevelType w:val="hybridMultilevel"/>
    <w:lvl w:ilvl="0">
      <w:lvlJc w:val="left"/>
      <w:lvlText w:val="%1."/>
      <w:numFmt w:val="decimal"/>
      <w:start w:val="1"/>
    </w:lvl>
    <w:lvl w:ilvl="1">
      <w:lvlJc w:val="left"/>
      <w:lvlText w:val="(%2)"/>
      <w:numFmt w:val="lowerLetter"/>
      <w:start w:val="1"/>
    </w:lvl>
  </w:abstractNum>
  <w:abstractNum w:abstractNumId="191">
    <w:nsid w:val="3B3EBE15"/>
    <w:multiLevelType w:val="hybridMultilevel"/>
    <w:lvl w:ilvl="0">
      <w:lvlJc w:val="left"/>
      <w:lvlText w:val="(%1)"/>
      <w:numFmt w:val="lowerRoman"/>
      <w:start w:val="1"/>
    </w:lvl>
  </w:abstractNum>
  <w:abstractNum w:abstractNumId="192">
    <w:nsid w:val="3822CB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93">
    <w:nsid w:val="6CE0044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4">
    <w:nsid w:val="79F0D62F"/>
    <w:multiLevelType w:val="hybridMultilevel"/>
    <w:lvl w:ilvl="0">
      <w:lvlJc w:val="left"/>
      <w:lvlText w:val="%1."/>
      <w:numFmt w:val="decimal"/>
      <w:start w:val="11"/>
    </w:lvl>
    <w:lvl w:ilvl="1">
      <w:lvlJc w:val="left"/>
      <w:lvlText w:val="(%2)"/>
      <w:numFmt w:val="lowerLetter"/>
      <w:start w:val="1"/>
    </w:lvl>
  </w:abstractNum>
  <w:abstractNum w:abstractNumId="195">
    <w:nsid w:val="7975E8EE"/>
    <w:multiLevelType w:val="hybridMultilevel"/>
    <w:lvl w:ilvl="0">
      <w:lvlJc w:val="left"/>
      <w:lvlText w:val="%1."/>
      <w:numFmt w:val="decimal"/>
      <w:start w:val="1"/>
    </w:lvl>
  </w:abstractNum>
  <w:abstractNum w:abstractNumId="196">
    <w:nsid w:val="73154115"/>
    <w:multiLevelType w:val="hybridMultilevel"/>
    <w:lvl w:ilvl="0">
      <w:lvlJc w:val="left"/>
      <w:lvlText w:val="%1."/>
      <w:numFmt w:val="decimal"/>
      <w:start w:val="7"/>
    </w:lvl>
  </w:abstractNum>
  <w:abstractNum w:abstractNumId="197">
    <w:nsid w:val="622D8102"/>
    <w:multiLevelType w:val="hybridMultilevel"/>
    <w:lvl w:ilvl="0">
      <w:lvlJc w:val="left"/>
      <w:lvlText w:val="%1."/>
      <w:numFmt w:val="decimal"/>
      <w:start w:val="15"/>
    </w:lvl>
  </w:abstractNum>
  <w:abstractNum w:abstractNumId="198">
    <w:nsid w:val="2AB26587"/>
    <w:multiLevelType w:val="hybridMultilevel"/>
    <w:lvl w:ilvl="0">
      <w:lvlJc w:val="left"/>
      <w:lvlText w:val="%1."/>
      <w:numFmt w:val="decimal"/>
      <w:start w:val="16"/>
    </w:lvl>
  </w:abstractNum>
  <w:abstractNum w:abstractNumId="199">
    <w:nsid w:val="44B3FA61"/>
    <w:multiLevelType w:val="hybridMultilevel"/>
    <w:lvl w:ilvl="0">
      <w:lvlJc w:val="left"/>
      <w:lvlText w:val="%1."/>
      <w:numFmt w:val="decimal"/>
      <w:start w:val="1"/>
    </w:lvl>
  </w:abstractNum>
  <w:abstractNum w:abstractNumId="200">
    <w:nsid w:val="1C0CA67C"/>
    <w:multiLevelType w:val="hybridMultilevel"/>
    <w:lvl w:ilvl="0">
      <w:lvlJc w:val="left"/>
      <w:lvlText w:val="%1."/>
      <w:numFmt w:val="decimal"/>
      <w:start w:val="2"/>
    </w:lvl>
  </w:abstractNum>
  <w:abstractNum w:abstractNumId="201">
    <w:nsid w:val="3D206613"/>
    <w:multiLevelType w:val="hybridMultilevel"/>
    <w:lvl w:ilvl="0">
      <w:lvlJc w:val="left"/>
      <w:lvlText w:val="(%1)"/>
      <w:numFmt w:val="lowerLetter"/>
      <w:start w:val="1"/>
    </w:lvl>
  </w:abstractNum>
  <w:abstractNum w:abstractNumId="202">
    <w:nsid w:val="7993B662"/>
    <w:multiLevelType w:val="hybridMultilevel"/>
    <w:lvl w:ilvl="0">
      <w:lvlJc w:val="left"/>
      <w:lvlText w:val="%1"/>
      <w:numFmt w:val="lowerLetter"/>
      <w:start w:val="1"/>
    </w:lvl>
    <w:lvl w:ilvl="1">
      <w:lvlJc w:val="left"/>
      <w:lvlText w:val="(%2)"/>
      <w:numFmt w:val="lowerLetter"/>
      <w:start w:val="2"/>
    </w:lvl>
  </w:abstractNum>
  <w:abstractNum w:abstractNumId="203">
    <w:nsid w:val="3BAB699E"/>
    <w:multiLevelType w:val="hybridMultilevel"/>
    <w:lvl w:ilvl="0">
      <w:lvlJc w:val="left"/>
      <w:lvlText w:val="(%1)"/>
      <w:numFmt w:val="lowerLetter"/>
      <w:start w:val="9"/>
    </w:lvl>
    <w:lvl w:ilvl="1">
      <w:lvlJc w:val="left"/>
      <w:lvlText w:val="%2"/>
      <w:numFmt w:val="lowerLetter"/>
      <w:start w:val="1"/>
    </w:lvl>
  </w:abstractNum>
  <w:abstractNum w:abstractNumId="204">
    <w:nsid w:val="71315369"/>
    <w:multiLevelType w:val="hybridMultilevel"/>
    <w:lvl w:ilvl="0">
      <w:lvlJc w:val="left"/>
      <w:lvlText w:val="(%1)"/>
      <w:numFmt w:val="lowerLetter"/>
      <w:start w:val="1"/>
    </w:lvl>
  </w:abstractNum>
  <w:abstractNum w:abstractNumId="205">
    <w:nsid w:val="7BCFBAFC"/>
    <w:multiLevelType w:val="hybridMultilevel"/>
    <w:lvl w:ilvl="0">
      <w:lvlJc w:val="left"/>
      <w:lvlText w:val="%1."/>
      <w:numFmt w:val="decimal"/>
      <w:start w:val="3"/>
    </w:lvl>
  </w:abstractNum>
  <w:abstractNum w:abstractNumId="206">
    <w:nsid w:val="17859F72"/>
    <w:multiLevelType w:val="hybridMultilevel"/>
    <w:lvl w:ilvl="0">
      <w:lvlJc w:val="left"/>
      <w:lvlText w:val="%1."/>
      <w:numFmt w:val="decimal"/>
      <w:start w:val="4"/>
    </w:lvl>
  </w:abstractNum>
  <w:abstractNum w:abstractNumId="207">
    <w:nsid w:val="3AA10581"/>
    <w:multiLevelType w:val="hybridMultilevel"/>
    <w:lvl w:ilvl="0">
      <w:lvlJc w:val="left"/>
      <w:lvlText w:val="(%1)"/>
      <w:numFmt w:val="lowerLetter"/>
      <w:start w:val="1"/>
    </w:lvl>
    <w:lvl w:ilvl="1">
      <w:lvlJc w:val="left"/>
      <w:lvlText w:val="-"/>
      <w:numFmt w:val="bullet"/>
      <w:start w:val="1"/>
    </w:lvl>
  </w:abstractNum>
  <w:abstractNum w:abstractNumId="208">
    <w:nsid w:val="63DE60CD"/>
    <w:multiLevelType w:val="hybridMultilevel"/>
    <w:lvl w:ilvl="0">
      <w:lvlJc w:val="left"/>
      <w:lvlText w:val="(%1)"/>
      <w:numFmt w:val="lowerLetter"/>
      <w:start w:val="5"/>
    </w:lvl>
  </w:abstractNum>
  <w:abstractNum w:abstractNumId="209">
    <w:nsid w:val="621AF471"/>
    <w:multiLevelType w:val="hybridMultilevel"/>
    <w:lvl w:ilvl="0">
      <w:lvlJc w:val="left"/>
      <w:lvlText w:val="%1."/>
      <w:numFmt w:val="decimal"/>
      <w:start w:val="5"/>
    </w:lvl>
    <w:lvl w:ilvl="1">
      <w:lvlJc w:val="left"/>
      <w:lvlText w:val="-"/>
      <w:numFmt w:val="bullet"/>
      <w:start w:val="1"/>
    </w:lvl>
  </w:abstractNum>
  <w:abstractNum w:abstractNumId="210">
    <w:nsid w:val="73CFE165"/>
    <w:multiLevelType w:val="hybridMultilevel"/>
    <w:lvl w:ilvl="0">
      <w:lvlJc w:val="left"/>
      <w:lvlText w:val="%1."/>
      <w:numFmt w:val="decimal"/>
      <w:start w:val="6"/>
    </w:lvl>
  </w:abstractNum>
  <w:abstractNum w:abstractNumId="211">
    <w:nsid w:val="20F88EA6"/>
    <w:multiLevelType w:val="hybridMultilevel"/>
    <w:lvl w:ilvl="0">
      <w:lvlJc w:val="left"/>
      <w:lvlText w:val="(%1)"/>
      <w:numFmt w:val="lowerLetter"/>
      <w:start w:val="1"/>
    </w:lvl>
    <w:lvl w:ilvl="1">
      <w:lvlJc w:val="left"/>
      <w:lvlText w:val="-"/>
      <w:numFmt w:val="bullet"/>
      <w:start w:val="1"/>
    </w:lvl>
  </w:abstractNum>
  <w:abstractNum w:abstractNumId="212">
    <w:nsid w:val="617C843E"/>
    <w:multiLevelType w:val="hybridMultilevel"/>
    <w:lvl w:ilvl="0">
      <w:lvlJc w:val="left"/>
      <w:lvlText w:val="%1."/>
      <w:numFmt w:val="decimal"/>
      <w:start w:val="7"/>
    </w:lvl>
  </w:abstractNum>
  <w:abstractNum w:abstractNumId="213">
    <w:nsid w:val="7B541FAB"/>
    <w:multiLevelType w:val="hybridMultilevel"/>
    <w:lvl w:ilvl="0">
      <w:lvlJc w:val="left"/>
      <w:lvlText w:val="(%1)"/>
      <w:numFmt w:val="lowerLetter"/>
      <w:start w:val="1"/>
    </w:lvl>
  </w:abstractNum>
  <w:abstractNum w:abstractNumId="214">
    <w:nsid w:val="2A79EC49"/>
    <w:multiLevelType w:val="hybridMultilevel"/>
    <w:lvl w:ilvl="0">
      <w:lvlJc w:val="left"/>
      <w:lvlText w:val="(%1)"/>
      <w:numFmt w:val="lowerLetter"/>
      <w:start w:val="2"/>
    </w:lvl>
  </w:abstractNum>
  <w:abstractNum w:abstractNumId="215">
    <w:nsid w:val="338125CF"/>
    <w:multiLevelType w:val="hybridMultilevel"/>
    <w:lvl w:ilvl="0">
      <w:lvlJc w:val="left"/>
      <w:lvlText w:val="%1."/>
      <w:numFmt w:val="decimal"/>
      <w:start w:val="8"/>
    </w:lvl>
  </w:abstractNum>
  <w:abstractNum w:abstractNumId="216">
    <w:nsid w:val="47C7C971"/>
    <w:multiLevelType w:val="hybridMultilevel"/>
    <w:lvl w:ilvl="0">
      <w:lvlJc w:val="left"/>
      <w:lvlText w:val="%1."/>
      <w:numFmt w:val="decimal"/>
      <w:start w:val="9"/>
    </w:lvl>
  </w:abstractNum>
  <w:abstractNum w:abstractNumId="217">
    <w:nsid w:val="46F8284B"/>
    <w:multiLevelType w:val="hybridMultilevel"/>
    <w:lvl w:ilvl="0">
      <w:lvlJc w:val="left"/>
      <w:lvlText w:val="%1."/>
      <w:numFmt w:val="decimal"/>
      <w:start w:val="10"/>
    </w:lvl>
  </w:abstractNum>
  <w:abstractNum w:abstractNumId="218">
    <w:nsid w:val="4FA327CE"/>
    <w:multiLevelType w:val="hybridMultilevel"/>
    <w:lvl w:ilvl="0">
      <w:lvlJc w:val="left"/>
      <w:lvlText w:val="%1."/>
      <w:numFmt w:val="decimal"/>
      <w:start w:val="11"/>
    </w:lvl>
    <w:lvl w:ilvl="1">
      <w:lvlJc w:val="left"/>
      <w:lvlText w:val="-"/>
      <w:numFmt w:val="bullet"/>
      <w:start w:val="1"/>
    </w:lvl>
  </w:abstractNum>
  <w:abstractNum w:abstractNumId="219">
    <w:nsid w:val="1873983A"/>
    <w:multiLevelType w:val="hybridMultilevel"/>
    <w:lvl w:ilvl="0">
      <w:lvlJc w:val="left"/>
      <w:lvlText w:val="%1"/>
      <w:numFmt w:val="lowerLetter"/>
      <w:start w:val="1"/>
    </w:lvl>
    <w:lvl w:ilvl="1">
      <w:lvlJc w:val="left"/>
      <w:lvlText w:val="%2."/>
      <w:numFmt w:val="decimal"/>
      <w:start w:val="12"/>
    </w:lvl>
    <w:lvl w:ilvl="2">
      <w:lvlJc w:val="left"/>
      <w:lvlText w:val="-"/>
      <w:numFmt w:val="bullet"/>
      <w:start w:val="1"/>
    </w:lvl>
  </w:abstractNum>
  <w:abstractNum w:abstractNumId="220">
    <w:nsid w:val="3D2DD275"/>
    <w:multiLevelType w:val="hybridMultilevel"/>
    <w:lvl w:ilvl="0">
      <w:lvlJc w:val="left"/>
      <w:lvlText w:val="(%1)"/>
      <w:numFmt w:val="lowerLetter"/>
      <w:start w:val="2"/>
    </w:lvl>
    <w:lvl w:ilvl="1">
      <w:lvlJc w:val="left"/>
      <w:lvlText w:val="%2."/>
      <w:numFmt w:val="decimal"/>
      <w:start w:val="14"/>
    </w:lvl>
    <w:lvl w:ilvl="2">
      <w:lvlJc w:val="left"/>
      <w:lvlText w:val="-"/>
      <w:numFmt w:val="bullet"/>
      <w:start w:val="1"/>
    </w:lvl>
  </w:abstractNum>
  <w:abstractNum w:abstractNumId="221">
    <w:nsid w:val="2E17ECA7"/>
    <w:multiLevelType w:val="hybridMultilevel"/>
    <w:lvl w:ilvl="0">
      <w:lvlJc w:val="left"/>
      <w:lvlText w:val="%1."/>
      <w:numFmt w:val="decimal"/>
      <w:start w:val="15"/>
    </w:lvl>
  </w:abstractNum>
  <w:abstractNum w:abstractNumId="222">
    <w:nsid w:val="53B2564F"/>
    <w:multiLevelType w:val="hybridMultilevel"/>
    <w:lvl w:ilvl="0">
      <w:lvlJc w:val="left"/>
      <w:lvlText w:val="(%1)"/>
      <w:numFmt w:val="lowerLetter"/>
      <w:start w:val="1"/>
    </w:lvl>
  </w:abstractNum>
  <w:abstractNum w:abstractNumId="223">
    <w:nsid w:val="75509D76"/>
    <w:multiLevelType w:val="hybridMultilevel"/>
    <w:lvl w:ilvl="0">
      <w:lvlJc w:val="left"/>
      <w:lvlText w:val="(%1)"/>
      <w:numFmt w:val="lowerLetter"/>
      <w:start w:val="9"/>
    </w:lvl>
  </w:abstractNum>
  <w:abstractNum w:abstractNumId="224">
    <w:nsid w:val="1AF7F0EA"/>
    <w:multiLevelType w:val="hybridMultilevel"/>
    <w:lvl w:ilvl="0">
      <w:lvlJc w:val="left"/>
      <w:lvlText w:val="%1."/>
      <w:numFmt w:val="decimal"/>
      <w:start w:val="16"/>
    </w:lvl>
  </w:abstractNum>
  <w:abstractNum w:abstractNumId="225">
    <w:nsid w:val="4DA32C7E"/>
    <w:multiLevelType w:val="hybridMultilevel"/>
    <w:lvl w:ilvl="0">
      <w:lvlJc w:val="left"/>
      <w:lvlText w:val="%1."/>
      <w:numFmt w:val="decimal"/>
      <w:start w:val="17"/>
    </w:lvl>
  </w:abstractNum>
  <w:abstractNum w:abstractNumId="226">
    <w:nsid w:val="6EC68664"/>
    <w:multiLevelType w:val="hybridMultilevel"/>
    <w:lvl w:ilvl="0">
      <w:lvlJc w:val="left"/>
      <w:lvlText w:val="%1."/>
      <w:numFmt w:val="decimal"/>
      <w:start w:val="21"/>
    </w:lvl>
  </w:abstractNum>
  <w:abstractNum w:abstractNumId="227">
    <w:nsid w:val="E0D31FF"/>
    <w:multiLevelType w:val="hybridMultilevel"/>
    <w:lvl w:ilvl="0">
      <w:lvlJc w:val="left"/>
      <w:lvlText w:val="%1."/>
      <w:numFmt w:val="decimal"/>
      <w:start w:val="22"/>
    </w:lvl>
    <w:lvl w:ilvl="1">
      <w:lvlJc w:val="left"/>
      <w:lvlText w:val="*"/>
      <w:numFmt w:val="bullet"/>
      <w:start w:val="1"/>
    </w:lvl>
    <w:lvl w:ilvl="2">
      <w:lvlJc w:val="left"/>
      <w:lvlText w:val="-"/>
      <w:numFmt w:val="bullet"/>
      <w:start w:val="1"/>
    </w:lvl>
  </w:abstractNum>
  <w:abstractNum w:abstractNumId="228">
    <w:nsid w:val="2FD0AD81"/>
    <w:multiLevelType w:val="hybridMultilevel"/>
    <w:lvl w:ilvl="0">
      <w:lvlJc w:val="left"/>
      <w:lvlText w:val="%1."/>
      <w:numFmt w:val="decimal"/>
      <w:start w:val="1"/>
    </w:lvl>
    <w:lvl w:ilvl="1">
      <w:lvlJc w:val="left"/>
      <w:lvlText w:val="(%2)"/>
      <w:numFmt w:val="lowerLetter"/>
      <w:start w:val="1"/>
    </w:lvl>
  </w:abstractNum>
  <w:abstractNum w:abstractNumId="229">
    <w:nsid w:val="1978EBEB"/>
    <w:multiLevelType w:val="hybridMultilevel"/>
    <w:lvl w:ilvl="0">
      <w:lvlJc w:val="left"/>
      <w:lvlText w:val="%1."/>
      <w:numFmt w:val="decimal"/>
      <w:start w:val="4"/>
    </w:lvl>
    <w:lvl w:ilvl="1">
      <w:lvlJc w:val="left"/>
      <w:lvlText w:val="(%2)"/>
      <w:numFmt w:val="lowerLetter"/>
      <w:start w:val="1"/>
    </w:lvl>
  </w:abstractNum>
  <w:abstractNum w:abstractNumId="230">
    <w:nsid w:val="52C12C61"/>
    <w:multiLevelType w:val="hybridMultilevel"/>
    <w:lvl w:ilvl="0">
      <w:lvlJc w:val="left"/>
      <w:lvlText w:val="%1."/>
      <w:numFmt w:val="decimal"/>
      <w:start w:val="5"/>
    </w:lvl>
    <w:lvl w:ilvl="1">
      <w:lvlJc w:val="left"/>
      <w:lvlText w:val="(%2)"/>
      <w:numFmt w:val="lowerLetter"/>
      <w:start w:val="1"/>
    </w:lvl>
  </w:abstractNum>
  <w:abstractNum w:abstractNumId="231">
    <w:nsid w:val="4BDD53FD"/>
    <w:multiLevelType w:val="hybridMultilevel"/>
    <w:lvl w:ilvl="0">
      <w:lvlJc w:val="left"/>
      <w:lvlText w:val="%1."/>
      <w:numFmt w:val="decimal"/>
      <w:start w:val="6"/>
    </w:lvl>
  </w:abstractNum>
  <w:abstractNum w:abstractNumId="232">
    <w:nsid w:val="569951FE"/>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33">
    <w:nsid w:val="4C54E2C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4">
    <w:nsid w:val="788BD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35">
    <w:nsid w:val="47CAA56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236">
    <w:nsid w:val="48249DBF"/>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1"/>
    </w:lvl>
  </w:abstractNum>
  <w:abstractNum w:abstractNumId="237">
    <w:nsid w:val="1F0E5D0D"/>
    <w:multiLevelType w:val="hybridMultilevel"/>
    <w:lvl w:ilvl="0">
      <w:lvlJc w:val="left"/>
      <w:lvlText w:val="%1."/>
      <w:numFmt w:val="decimal"/>
      <w:start w:val="11"/>
    </w:lvl>
    <w:lvl w:ilvl="1">
      <w:lvlJc w:val="left"/>
      <w:lvlText w:val="(%2)"/>
      <w:numFmt w:val="lowerLetter"/>
      <w:start w:val="1"/>
    </w:lvl>
  </w:abstractNum>
  <w:abstractNum w:abstractNumId="238">
    <w:nsid w:val="26BAAE9"/>
    <w:multiLevelType w:val="hybridMultilevel"/>
    <w:lvl w:ilvl="0">
      <w:lvlJc w:val="left"/>
      <w:lvlText w:val="(%1)"/>
      <w:numFmt w:val="lowerLetter"/>
      <w:start w:val="9"/>
    </w:lvl>
    <w:lvl w:ilvl="1">
      <w:lvlJc w:val="left"/>
      <w:lvlText w:val="(%2)"/>
      <w:numFmt w:val="lowerRoman"/>
      <w:start w:val="1"/>
    </w:lvl>
  </w:abstractNum>
  <w:abstractNum w:abstractNumId="239">
    <w:nsid w:val="2C02FE8C"/>
    <w:multiLevelType w:val="hybridMultilevel"/>
    <w:lvl w:ilvl="0">
      <w:lvlJc w:val="left"/>
      <w:lvlText w:val="%1."/>
      <w:numFmt w:val="decimal"/>
      <w:start w:val="13"/>
    </w:lvl>
  </w:abstractNum>
  <w:abstractNum w:abstractNumId="240">
    <w:nsid w:val="129517E"/>
    <w:multiLevelType w:val="hybridMultilevel"/>
    <w:lvl w:ilvl="0">
      <w:lvlJc w:val="left"/>
      <w:lvlText w:val="%1."/>
      <w:numFmt w:val="decimal"/>
      <w:start w:val="15"/>
    </w:lvl>
  </w:abstractNum>
  <w:abstractNum w:abstractNumId="241">
    <w:nsid w:val="763B8C4E"/>
    <w:multiLevelType w:val="hybridMultilevel"/>
    <w:lvl w:ilvl="0">
      <w:lvlJc w:val="left"/>
      <w:lvlText w:val="%1."/>
      <w:numFmt w:val="decimal"/>
      <w:start w:val="21"/>
    </w:lvl>
    <w:lvl w:ilvl="1">
      <w:lvlJc w:val="left"/>
      <w:lvlText w:val="*"/>
      <w:numFmt w:val="bullet"/>
      <w:start w:val="1"/>
    </w:lvl>
  </w:abstractNum>
  <w:abstractNum w:abstractNumId="242">
    <w:nsid w:val="4CFB8D32"/>
    <w:multiLevelType w:val="hybridMultilevel"/>
    <w:lvl w:ilvl="0">
      <w:lvlJc w:val="left"/>
      <w:lvlText w:val="["/>
      <w:numFmt w:val="bullet"/>
      <w:start w:val="1"/>
    </w:lvl>
  </w:abstractNum>
  <w:abstractNum w:abstractNumId="243">
    <w:nsid w:val="62A5D5BD"/>
    <w:multiLevelType w:val="hybridMultilevel"/>
    <w:lvl w:ilvl="0">
      <w:lvlJc w:val="left"/>
      <w:lvlText w:val="%1."/>
      <w:numFmt w:val="decimal"/>
      <w:start w:val="1"/>
    </w:lvl>
  </w:abstractNum>
  <w:abstractNum w:abstractNumId="244">
    <w:nsid w:val="718FABF9"/>
    <w:multiLevelType w:val="hybridMultilevel"/>
    <w:lvl w:ilvl="0">
      <w:lvlJc w:val="left"/>
      <w:lvlText w:val="%1."/>
      <w:numFmt w:val="decimal"/>
      <w:start w:val="6"/>
    </w:lvl>
  </w:abstractNum>
  <w:abstractNum w:abstractNumId="245">
    <w:nsid w:val="7775797C"/>
    <w:multiLevelType w:val="hybridMultilevel"/>
    <w:lvl w:ilvl="0">
      <w:lvlJc w:val="left"/>
      <w:lvlText w:val="["/>
      <w:numFmt w:val="bullet"/>
      <w:start w:val="1"/>
    </w:lvl>
  </w:abstractNum>
  <w:abstractNum w:abstractNumId="246">
    <w:nsid w:val="1626FB8C"/>
    <w:multiLevelType w:val="hybridMultilevel"/>
    <w:lvl w:ilvl="0">
      <w:lvlJc w:val="left"/>
      <w:lvlText w:val="%1."/>
      <w:numFmt w:val="decimal"/>
      <w:start w:val="1"/>
    </w:lvl>
  </w:abstractNum>
  <w:abstractNum w:abstractNumId="247">
    <w:nsid w:val="3957756A"/>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48">
    <w:nsid w:val="3E6DA1C7"/>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249">
    <w:nsid w:val="65CA235B"/>
    <w:multiLevelType w:val="hybridMultilevel"/>
    <w:lvl w:ilvl="0">
      <w:lvlJc w:val="left"/>
      <w:lvlText w:val="(%1)"/>
      <w:numFmt w:val="lowerRoman"/>
      <w:start w:val="4"/>
    </w:lvl>
    <w:lvl w:ilvl="1">
      <w:lvlJc w:val="left"/>
      <w:lvlText w:val="(%2)"/>
      <w:numFmt w:val="lowerLetter"/>
      <w:start w:val="3"/>
    </w:lvl>
    <w:lvl w:ilvl="2">
      <w:lvlJc w:val="left"/>
      <w:lvlText w:val="-"/>
      <w:numFmt w:val="bullet"/>
      <w:start w:val="1"/>
    </w:lvl>
  </w:abstractNum>
  <w:abstractNum w:abstractNumId="250">
    <w:nsid w:val="51CB0DA4"/>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51">
    <w:nsid w:val="7B9B743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52">
    <w:nsid w:val="13E21002"/>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53">
    <w:nsid w:val="257D63F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54">
    <w:nsid w:val="70EC11B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55">
    <w:nsid w:val="2EDA00ED"/>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56">
    <w:nsid w:val="73209072"/>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57">
    <w:nsid w:val="5FB29816"/>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258">
    <w:nsid w:val="3CE732EC"/>
    <w:multiLevelType w:val="hybridMultilevel"/>
    <w:lvl w:ilvl="0">
      <w:lvlJc w:val="left"/>
      <w:lvlText w:val="%1."/>
      <w:numFmt w:val="decimal"/>
      <w:start w:val="16"/>
    </w:lvl>
    <w:lvl w:ilvl="1">
      <w:lvlJc w:val="left"/>
      <w:lvlText w:val="-"/>
      <w:numFmt w:val="bullet"/>
      <w:start w:val="1"/>
    </w:lvl>
  </w:abstractNum>
  <w:abstractNum w:abstractNumId="259">
    <w:nsid w:val="22F13DF3"/>
    <w:multiLevelType w:val="hybridMultilevel"/>
    <w:lvl w:ilvl="0">
      <w:lvlJc w:val="left"/>
      <w:lvlText w:val="%1."/>
      <w:numFmt w:val="decimal"/>
      <w:start w:val="22"/>
    </w:lvl>
    <w:lvl w:ilvl="1">
      <w:lvlJc w:val="left"/>
      <w:lvlText w:val="*"/>
      <w:numFmt w:val="bullet"/>
      <w:start w:val="1"/>
    </w:lvl>
    <w:lvl w:ilvl="2">
      <w:lvlJc w:val="left"/>
      <w:lvlText w:val="-"/>
      <w:numFmt w:val="bullet"/>
      <w:start w:val="1"/>
    </w:lvl>
  </w:abstractNum>
  <w:abstractNum w:abstractNumId="260">
    <w:nsid w:val="792B8401"/>
    <w:multiLevelType w:val="hybridMultilevel"/>
    <w:lvl w:ilvl="0">
      <w:lvlJc w:val="left"/>
      <w:lvlText w:val="%1."/>
      <w:numFmt w:val="decimal"/>
      <w:start w:val="1"/>
    </w:lvl>
    <w:lvl w:ilvl="1">
      <w:lvlJc w:val="left"/>
      <w:lvlText w:val="(%2)"/>
      <w:numFmt w:val="lowerLetter"/>
      <w:start w:val="1"/>
    </w:lvl>
  </w:abstractNum>
  <w:abstractNum w:abstractNumId="261">
    <w:nsid w:val="FA85F4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2">
    <w:nsid w:val="6ECE91F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3">
    <w:nsid w:val="4FC4D600"/>
    <w:multiLevelType w:val="hybridMultilevel"/>
    <w:lvl w:ilvl="0">
      <w:lvlJc w:val="left"/>
      <w:lvlText w:val="%1."/>
      <w:numFmt w:val="decimal"/>
      <w:start w:val="6"/>
    </w:lvl>
    <w:lvl w:ilvl="1">
      <w:lvlJc w:val="left"/>
      <w:lvlText w:val="(%2)"/>
      <w:numFmt w:val="lowerLetter"/>
      <w:start w:val="1"/>
    </w:lvl>
  </w:abstractNum>
  <w:abstractNum w:abstractNumId="264">
    <w:nsid w:val="5BFD4210"/>
    <w:multiLevelType w:val="hybridMultilevel"/>
    <w:lvl w:ilvl="0">
      <w:lvlJc w:val="left"/>
      <w:lvlText w:val="%1"/>
      <w:numFmt w:val="decimal"/>
      <w:start w:val="1"/>
    </w:lvl>
    <w:lvl w:ilvl="1">
      <w:lvlJc w:val="left"/>
      <w:lvlText w:val="(%2)"/>
      <w:numFmt w:val="lowerLetter"/>
      <w:start w:val="3"/>
    </w:lvl>
  </w:abstractNum>
  <w:abstractNum w:abstractNumId="265">
    <w:nsid w:val="76574F8B"/>
    <w:multiLevelType w:val="hybridMultilevel"/>
    <w:lvl w:ilvl="0">
      <w:lvlJc w:val="left"/>
      <w:lvlText w:val="%1."/>
      <w:numFmt w:val="decimal"/>
      <w:start w:val="8"/>
    </w:lvl>
    <w:lvl w:ilvl="1">
      <w:lvlJc w:val="left"/>
      <w:lvlText w:val="%2"/>
      <w:numFmt w:val="lowerLetter"/>
      <w:start w:val="1"/>
    </w:lvl>
  </w:abstractNum>
  <w:abstractNum w:abstractNumId="266">
    <w:nsid w:val="178F7B67"/>
    <w:multiLevelType w:val="hybridMultilevel"/>
    <w:lvl w:ilvl="0">
      <w:lvlJc w:val="left"/>
      <w:lvlText w:val="%1."/>
      <w:numFmt w:val="decimal"/>
      <w:start w:val="9"/>
    </w:lvl>
    <w:lvl w:ilvl="1">
      <w:lvlJc w:val="left"/>
      <w:lvlText w:val="(%2)"/>
      <w:numFmt w:val="lowerLetter"/>
      <w:start w:val="1"/>
    </w:lvl>
  </w:abstractNum>
  <w:abstractNum w:abstractNumId="267">
    <w:nsid w:val="2421DFCF"/>
    <w:multiLevelType w:val="hybridMultilevel"/>
    <w:lvl w:ilvl="0">
      <w:lvlJc w:val="left"/>
      <w:lvlText w:val="(%1)"/>
      <w:numFmt w:val="lowerLetter"/>
      <w:start w:val="7"/>
    </w:lvl>
    <w:lvl w:ilvl="1">
      <w:lvlJc w:val="left"/>
      <w:lvlText w:val="(%2)"/>
      <w:numFmt w:val="lowerRoman"/>
      <w:start w:val="1"/>
    </w:lvl>
  </w:abstractNum>
  <w:abstractNum w:abstractNumId="268">
    <w:nsid w:val="1565AC99"/>
    <w:multiLevelType w:val="hybridMultilevel"/>
    <w:lvl w:ilvl="0">
      <w:lvlJc w:val="left"/>
      <w:lvlText w:val="%1."/>
      <w:numFmt w:val="decimal"/>
      <w:start w:val="12"/>
    </w:lvl>
  </w:abstractNum>
  <w:abstractNum w:abstractNumId="269">
    <w:nsid w:val="19FB2650"/>
    <w:multiLevelType w:val="hybridMultilevel"/>
    <w:lvl w:ilvl="0">
      <w:lvlJc w:val="left"/>
      <w:lvlText w:val="%1."/>
      <w:numFmt w:val="decimal"/>
      <w:start w:val="14"/>
    </w:lvl>
  </w:abstractNum>
  <w:abstractNum w:abstractNumId="270">
    <w:nsid w:val="5024DE5B"/>
    <w:multiLevelType w:val="hybridMultilevel"/>
    <w:lvl w:ilvl="0">
      <w:lvlJc w:val="left"/>
      <w:lvlText w:val="%1."/>
      <w:numFmt w:val="decimal"/>
      <w:start w:val="20"/>
    </w:lvl>
    <w:lvl w:ilvl="1">
      <w:lvlJc w:val="left"/>
      <w:lvlText w:val="*"/>
      <w:numFmt w:val="bullet"/>
      <w:start w:val="1"/>
    </w:lvl>
  </w:abstractNum>
  <w:abstractNum w:abstractNumId="271">
    <w:nsid w:val="168EFE17"/>
    <w:multiLevelType w:val="hybridMultilevel"/>
    <w:lvl w:ilvl="0">
      <w:lvlJc w:val="left"/>
      <w:lvlText w:val="%1."/>
      <w:numFmt w:val="decimal"/>
      <w:start w:val="1"/>
    </w:lvl>
  </w:abstractNum>
  <w:abstractNum w:abstractNumId="272">
    <w:nsid w:val="1036B29F"/>
    <w:multiLevelType w:val="hybridMultilevel"/>
    <w:lvl w:ilvl="0">
      <w:lvlJc w:val="left"/>
      <w:lvlText w:val="(%1)"/>
      <w:numFmt w:val="lowerLetter"/>
      <w:start w:val="1"/>
    </w:lvl>
  </w:abstractNum>
  <w:abstractNum w:abstractNumId="273">
    <w:nsid w:val="1D206B8E"/>
    <w:multiLevelType w:val="hybridMultilevel"/>
    <w:lvl w:ilvl="0">
      <w:lvlJc w:val="left"/>
      <w:lvlText w:val="%1"/>
      <w:numFmt w:val="lowerLetter"/>
      <w:start w:val="1"/>
    </w:lvl>
    <w:lvl w:ilvl="1">
      <w:lvlJc w:val="left"/>
      <w:lvlText w:val="(%2)"/>
      <w:numFmt w:val="lowerLetter"/>
      <w:start w:val="2"/>
    </w:lvl>
  </w:abstractNum>
  <w:abstractNum w:abstractNumId="274">
    <w:nsid w:val="7934D3D4"/>
    <w:multiLevelType w:val="hybridMultilevel"/>
    <w:lvl w:ilvl="0">
      <w:lvlJc w:val="left"/>
      <w:lvlText w:val="(%1)"/>
      <w:numFmt w:val="lowerLetter"/>
      <w:start w:val="9"/>
    </w:lvl>
    <w:lvl w:ilvl="1">
      <w:lvlJc w:val="left"/>
      <w:lvlText w:val="%2"/>
      <w:numFmt w:val="lowerLetter"/>
      <w:start w:val="1"/>
    </w:lvl>
  </w:abstractNum>
  <w:abstractNum w:abstractNumId="275">
    <w:nsid w:val="1C65E98"/>
    <w:multiLevelType w:val="hybridMultilevel"/>
    <w:lvl w:ilvl="0">
      <w:lvlJc w:val="left"/>
      <w:lvlText w:val="(%1)"/>
      <w:numFmt w:val="lowerLetter"/>
      <w:start w:val="1"/>
    </w:lvl>
  </w:abstractNum>
  <w:abstractNum w:abstractNumId="276">
    <w:nsid w:val="1495E50A"/>
    <w:multiLevelType w:val="hybridMultilevel"/>
    <w:lvl w:ilvl="0">
      <w:lvlJc w:val="left"/>
      <w:lvlText w:val="(%1)"/>
      <w:numFmt w:val="lowerLetter"/>
      <w:start w:val="2"/>
    </w:lvl>
  </w:abstractNum>
  <w:abstractNum w:abstractNumId="277">
    <w:nsid w:val="F5BCF61"/>
    <w:multiLevelType w:val="hybridMultilevel"/>
    <w:lvl w:ilvl="0">
      <w:lvlJc w:val="left"/>
      <w:lvlText w:val="%1."/>
      <w:numFmt w:val="decimal"/>
      <w:start w:val="3"/>
    </w:lvl>
  </w:abstractNum>
  <w:abstractNum w:abstractNumId="278">
    <w:nsid w:val="3B1DD40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79">
    <w:nsid w:val="530386D1"/>
    <w:multiLevelType w:val="hybridMultilevel"/>
    <w:lvl w:ilvl="0">
      <w:lvlJc w:val="left"/>
      <w:lvlText w:val="%1."/>
      <w:numFmt w:val="decimal"/>
      <w:start w:val="5"/>
    </w:lvl>
  </w:abstractNum>
  <w:abstractNum w:abstractNumId="280">
    <w:nsid w:val="7525F2BC"/>
    <w:multiLevelType w:val="hybridMultilevel"/>
    <w:lvl w:ilvl="0">
      <w:lvlJc w:val="left"/>
      <w:lvlText w:val="%1."/>
      <w:numFmt w:val="decimal"/>
      <w:start w:val="6"/>
    </w:lvl>
  </w:abstractNum>
  <w:abstractNum w:abstractNumId="281">
    <w:nsid w:val="CE8E1A7"/>
    <w:multiLevelType w:val="hybridMultilevel"/>
    <w:lvl w:ilvl="0">
      <w:lvlJc w:val="left"/>
      <w:lvlText w:val="%1."/>
      <w:numFmt w:val="decimal"/>
      <w:start w:val="7"/>
    </w:lvl>
  </w:abstractNum>
  <w:abstractNum w:abstractNumId="282">
    <w:nsid w:val="4E9EFB0D"/>
    <w:multiLevelType w:val="hybridMultilevel"/>
    <w:lvl w:ilvl="0">
      <w:lvlJc w:val="left"/>
      <w:lvlText w:val="%1."/>
      <w:numFmt w:val="decimal"/>
      <w:start w:val="8"/>
    </w:lvl>
  </w:abstractNum>
  <w:abstractNum w:abstractNumId="283">
    <w:nsid w:val="90802BE"/>
    <w:multiLevelType w:val="hybridMultilevel"/>
    <w:lvl w:ilvl="0">
      <w:lvlJc w:val="left"/>
      <w:lvlText w:val="(%1)"/>
      <w:numFmt w:val="lowerLetter"/>
      <w:start w:val="1"/>
    </w:lvl>
  </w:abstractNum>
  <w:abstractNum w:abstractNumId="284">
    <w:nsid w:val="3266459B"/>
    <w:multiLevelType w:val="hybridMultilevel"/>
    <w:lvl w:ilvl="0">
      <w:lvlJc w:val="left"/>
      <w:lvlText w:val="%1"/>
      <w:numFmt w:val="upperLetter"/>
      <w:start w:val="1"/>
    </w:lvl>
    <w:lvl w:ilvl="1">
      <w:lvlJc w:val="left"/>
      <w:lvlText w:val="(%2)"/>
      <w:numFmt w:val="lowerLetter"/>
      <w:start w:val="1"/>
    </w:lvl>
  </w:abstractNum>
  <w:abstractNum w:abstractNumId="285">
    <w:nsid w:val="3F8B0CBF"/>
    <w:multiLevelType w:val="hybridMultilevel"/>
    <w:lvl w:ilvl="0">
      <w:lvlJc w:val="left"/>
      <w:lvlText w:val="(%1)"/>
      <w:numFmt w:val="upperLetter"/>
      <w:start w:val="1"/>
    </w:lvl>
    <w:lvl w:ilvl="1">
      <w:lvlJc w:val="left"/>
      <w:lvlText w:val="(%2)"/>
      <w:numFmt w:val="lowerLetter"/>
      <w:start w:val="2"/>
    </w:lvl>
  </w:abstractNum>
  <w:abstractNum w:abstractNumId="286">
    <w:nsid w:val="37E203AB"/>
    <w:multiLevelType w:val="hybridMultilevel"/>
    <w:lvl w:ilvl="0">
      <w:lvlJc w:val="left"/>
      <w:lvlText w:val="%1."/>
      <w:numFmt w:val="decimal"/>
      <w:start w:val="9"/>
    </w:lvl>
  </w:abstractNum>
  <w:abstractNum w:abstractNumId="287">
    <w:nsid w:val="2586D60E"/>
    <w:multiLevelType w:val="hybridMultilevel"/>
    <w:lvl w:ilvl="0">
      <w:lvlJc w:val="left"/>
      <w:lvlText w:val="%1."/>
      <w:numFmt w:val="decimal"/>
      <w:start w:val="10"/>
    </w:lvl>
  </w:abstractNum>
  <w:abstractNum w:abstractNumId="288">
    <w:nsid w:val="1F3DA4D5"/>
    <w:multiLevelType w:val="hybridMultilevel"/>
    <w:lvl w:ilvl="0">
      <w:lvlJc w:val="left"/>
      <w:lvlText w:val="(%1)"/>
      <w:numFmt w:val="lowerRoman"/>
      <w:start w:val="10"/>
    </w:lvl>
    <w:lvl w:ilvl="1">
      <w:lvlJc w:val="left"/>
      <w:lvlText w:val="%2."/>
      <w:numFmt w:val="decimal"/>
      <w:start w:val="11"/>
    </w:lvl>
  </w:abstractNum>
  <w:abstractNum w:abstractNumId="289">
    <w:nsid w:val="74C93698"/>
    <w:multiLevelType w:val="hybridMultilevel"/>
    <w:lvl w:ilvl="0">
      <w:lvlJc w:val="left"/>
      <w:lvlText w:val="%1."/>
      <w:numFmt w:val="decimal"/>
      <w:start w:val="12"/>
    </w:lvl>
  </w:abstractNum>
  <w:abstractNum w:abstractNumId="290">
    <w:nsid w:val="48781401"/>
    <w:multiLevelType w:val="hybridMultilevel"/>
    <w:lvl w:ilvl="0">
      <w:lvlJc w:val="left"/>
      <w:lvlText w:val="%1."/>
      <w:numFmt w:val="decimal"/>
      <w:start w:val="13"/>
    </w:lvl>
  </w:abstractNum>
  <w:abstractNum w:abstractNumId="291">
    <w:nsid w:val="186928D6"/>
    <w:multiLevelType w:val="hybridMultilevel"/>
    <w:lvl w:ilvl="0">
      <w:lvlJc w:val="left"/>
      <w:lvlText w:val="%1."/>
      <w:numFmt w:val="decimal"/>
      <w:start w:val="14"/>
    </w:lvl>
  </w:abstractNum>
  <w:abstractNum w:abstractNumId="292">
    <w:nsid w:val="47195E5"/>
    <w:multiLevelType w:val="hybridMultilevel"/>
    <w:lvl w:ilvl="0">
      <w:lvlJc w:val="left"/>
      <w:lvlText w:val="%1."/>
      <w:numFmt w:val="decimal"/>
      <w:start w:val="18"/>
    </w:lvl>
  </w:abstractNum>
  <w:abstractNum w:abstractNumId="293">
    <w:nsid w:val="3746A5F2"/>
    <w:multiLevelType w:val="hybridMultilevel"/>
    <w:lvl w:ilvl="0">
      <w:lvlJc w:val="left"/>
      <w:lvlText w:val="(%1)"/>
      <w:numFmt w:val="lowerLetter"/>
      <w:start w:val="1"/>
    </w:lvl>
  </w:abstractNum>
  <w:abstractNum w:abstractNumId="294">
    <w:nsid w:val="682DFED6"/>
    <w:multiLevelType w:val="hybridMultilevel"/>
    <w:lvl w:ilvl="0">
      <w:lvlJc w:val="left"/>
      <w:lvlText w:val="%1."/>
      <w:numFmt w:val="decimal"/>
      <w:start w:val="19"/>
    </w:lvl>
  </w:abstractNum>
  <w:abstractNum w:abstractNumId="295">
    <w:nsid w:val="606ED7F6"/>
    <w:multiLevelType w:val="hybridMultilevel"/>
    <w:lvl w:ilvl="0">
      <w:lvlJc w:val="left"/>
      <w:lvlText w:val="%1."/>
      <w:numFmt w:val="decimal"/>
      <w:start w:val="20"/>
    </w:lvl>
  </w:abstractNum>
  <w:abstractNum w:abstractNumId="296">
    <w:nsid w:val="2D9DF57D"/>
    <w:multiLevelType w:val="hybridMultilevel"/>
    <w:lvl w:ilvl="0">
      <w:lvlJc w:val="left"/>
      <w:lvlText w:val="%1."/>
      <w:numFmt w:val="decimal"/>
      <w:start w:val="22"/>
    </w:lvl>
  </w:abstractNum>
  <w:abstractNum w:abstractNumId="297">
    <w:nsid w:val="7FBD7A3E"/>
    <w:multiLevelType w:val="hybridMultilevel"/>
    <w:lvl w:ilvl="0">
      <w:lvlJc w:val="left"/>
      <w:lvlText w:val="%1."/>
      <w:numFmt w:val="decimal"/>
      <w:start w:val="27"/>
    </w:lvl>
  </w:abstractNum>
  <w:abstractNum w:abstractNumId="298">
    <w:nsid w:val="490B7C5"/>
    <w:multiLevelType w:val="hybridMultilevel"/>
    <w:lvl w:ilvl="0">
      <w:lvlJc w:val="left"/>
      <w:lvlText w:val="%1."/>
      <w:numFmt w:val="decimal"/>
      <w:start w:val="1"/>
    </w:lvl>
  </w:abstractNum>
  <w:abstractNum w:abstractNumId="299">
    <w:nsid w:val="4303A216"/>
    <w:multiLevelType w:val="hybridMultilevel"/>
    <w:lvl w:ilvl="0">
      <w:lvlJc w:val="left"/>
      <w:lvlText w:val="%1."/>
      <w:numFmt w:val="decimal"/>
      <w:start w:val="7"/>
    </w:lvl>
  </w:abstractNum>
  <w:abstractNum w:abstractNumId="300">
    <w:nsid w:val="19B8A08E"/>
    <w:multiLevelType w:val="hybridMultilevel"/>
    <w:lvl w:ilvl="0">
      <w:lvlJc w:val="left"/>
      <w:lvlText w:val="%1."/>
      <w:numFmt w:val="decimal"/>
      <w:start w:val="8"/>
    </w:lvl>
    <w:lvl w:ilvl="1">
      <w:lvlJc w:val="left"/>
      <w:lvlText w:val="(%2)"/>
      <w:numFmt w:val="lowerLetter"/>
      <w:start w:val="1"/>
    </w:lvl>
  </w:abstractNum>
  <w:abstractNum w:abstractNumId="301">
    <w:nsid w:val="54B59621"/>
    <w:multiLevelType w:val="hybridMultilevel"/>
    <w:lvl w:ilvl="0">
      <w:lvlJc w:val="left"/>
      <w:lvlText w:val="%1"/>
      <w:numFmt w:val="decimal"/>
      <w:start w:val="1"/>
    </w:lvl>
    <w:lvl w:ilvl="1">
      <w:lvlJc w:val="left"/>
      <w:lvlText w:val="(%2)"/>
      <w:numFmt w:val="lowerLetter"/>
      <w:start w:val="9"/>
    </w:lvl>
  </w:abstractNum>
  <w:abstractNum w:abstractNumId="302">
    <w:nsid w:val="5992A02E"/>
    <w:multiLevelType w:val="hybridMultilevel"/>
    <w:lvl w:ilvl="0">
      <w:lvlJc w:val="left"/>
      <w:lvlText w:val="%1."/>
      <w:numFmt w:val="decimal"/>
      <w:start w:val="9"/>
    </w:lvl>
    <w:lvl w:ilvl="1">
      <w:lvlJc w:val="left"/>
      <w:lvlText w:val="%2"/>
      <w:numFmt w:val="lowerLetter"/>
      <w:start w:val="1"/>
    </w:lvl>
  </w:abstractNum>
  <w:abstractNum w:abstractNumId="303">
    <w:nsid w:val="29EF532D"/>
    <w:multiLevelType w:val="hybridMultilevel"/>
    <w:lvl w:ilvl="0">
      <w:lvlJc w:val="left"/>
      <w:lvlText w:val="%1."/>
      <w:numFmt w:val="decimal"/>
      <w:start w:val="10"/>
    </w:lvl>
  </w:abstractNum>
  <w:abstractNum w:abstractNumId="304">
    <w:nsid w:val="71D601AF"/>
    <w:multiLevelType w:val="hybridMultilevel"/>
    <w:lvl w:ilvl="0">
      <w:lvlJc w:val="left"/>
      <w:lvlText w:val="%1."/>
      <w:numFmt w:val="decimal"/>
      <w:start w:val="13"/>
    </w:lvl>
  </w:abstractNum>
  <w:abstractNum w:abstractNumId="305">
    <w:nsid w:val="52C77402"/>
    <w:multiLevelType w:val="hybridMultilevel"/>
    <w:lvl w:ilvl="0">
      <w:lvlJc w:val="left"/>
      <w:lvlText w:val="%1."/>
      <w:numFmt w:val="decimal"/>
      <w:start w:val="2"/>
    </w:lvl>
  </w:abstractNum>
  <w:abstractNum w:abstractNumId="306">
    <w:nsid w:val="2BB5B1C6"/>
    <w:multiLevelType w:val="hybridMultilevel"/>
    <w:lvl w:ilvl="0">
      <w:lvlJc w:val="left"/>
      <w:lvlText w:val="%1."/>
      <w:numFmt w:val="decimal"/>
      <w:start w:val="3"/>
    </w:lvl>
  </w:abstractNum>
  <w:abstractNum w:abstractNumId="307">
    <w:nsid w:val="66BE6B9"/>
    <w:multiLevelType w:val="hybridMultilevel"/>
    <w:lvl w:ilvl="0">
      <w:lvlJc w:val="left"/>
      <w:lvlText w:val="%1."/>
      <w:numFmt w:val="decimal"/>
      <w:start w:val="5"/>
    </w:lvl>
  </w:abstractNum>
  <w:abstractNum w:abstractNumId="308">
    <w:nsid w:val="62234363"/>
    <w:multiLevelType w:val="hybridMultilevel"/>
    <w:lvl w:ilvl="0">
      <w:lvlJc w:val="left"/>
      <w:lvlText w:val="(%1)"/>
      <w:numFmt w:val="lowerRoman"/>
      <w:start w:val="3"/>
    </w:lvl>
  </w:abstractNum>
  <w:abstractNum w:abstractNumId="309">
    <w:nsid w:val="66D385C9"/>
    <w:multiLevelType w:val="hybridMultilevel"/>
    <w:lvl w:ilvl="0">
      <w:lvlJc w:val="left"/>
      <w:lvlText w:val="(%1)"/>
      <w:numFmt w:val="lowerLetter"/>
      <w:start w:val="1"/>
    </w:lvl>
  </w:abstractNum>
  <w:abstractNum w:abstractNumId="310">
    <w:nsid w:val="596F6D8A"/>
    <w:multiLevelType w:val="hybridMultilevel"/>
    <w:lvl w:ilvl="0">
      <w:lvlJc w:val="left"/>
      <w:lvlText w:val="(%1)"/>
      <w:numFmt w:val="lowerLetter"/>
      <w:start w:val="2"/>
    </w:lvl>
  </w:abstractNum>
  <w:abstractNum w:abstractNumId="311">
    <w:nsid w:val="5749361F"/>
    <w:multiLevelType w:val="hybridMultilevel"/>
    <w:lvl w:ilvl="0">
      <w:lvlJc w:val="left"/>
      <w:lvlText w:val="(%1)"/>
      <w:numFmt w:val="lowerLetter"/>
      <w:start w:val="12"/>
    </w:lvl>
  </w:abstractNum>
  <w:abstractNum w:abstractNumId="312">
    <w:nsid w:val="73BC6770"/>
    <w:multiLevelType w:val="hybridMultilevel"/>
    <w:lvl w:ilvl="0">
      <w:lvlJc w:val="left"/>
      <w:lvlText w:val="(%1)"/>
      <w:numFmt w:val="decimal"/>
      <w:start w:val="30"/>
    </w:lvl>
  </w:abstractNum>
  <w:abstractNum w:abstractNumId="313">
    <w:nsid w:val="280E6897"/>
    <w:multiLevelType w:val="hybridMultilevel"/>
    <w:lvl w:ilvl="0">
      <w:lvlJc w:val="left"/>
      <w:lvlText w:val="(%1)"/>
      <w:numFmt w:val="decimal"/>
      <w:start w:val="180"/>
    </w:lvl>
  </w:abstractNum>
  <w:abstractNum w:abstractNumId="314">
    <w:nsid w:val="605138DE"/>
    <w:multiLevelType w:val="hybridMultilevel"/>
    <w:lvl w:ilvl="0">
      <w:lvlJc w:val="left"/>
      <w:lvlText w:val="(%1)"/>
      <w:numFmt w:val="decimal"/>
      <w:start w:val="5"/>
    </w:lvl>
  </w:abstractNum>
  <w:abstractNum w:abstractNumId="315">
    <w:nsid w:val="2622AD0C"/>
    <w:multiLevelType w:val="hybridMultilevel"/>
    <w:lvl w:ilvl="0">
      <w:lvlJc w:val="left"/>
      <w:lvlText w:val="%1"/>
      <w:numFmt w:val="decimal"/>
      <w:start w:val="1"/>
    </w:lvl>
    <w:lvl w:ilvl="1">
      <w:lvlJc w:val="left"/>
      <w:lvlText w:val="(%2)"/>
      <w:numFmt w:val="lowerLetter"/>
      <w:start w:val="1"/>
    </w:lvl>
  </w:abstractNum>
  <w:abstractNum w:abstractNumId="316">
    <w:nsid w:val="67997556"/>
    <w:multiLevelType w:val="hybridMultilevel"/>
    <w:lvl w:ilvl="0">
      <w:lvlJc w:val="left"/>
      <w:lvlText w:val="(%1)"/>
      <w:numFmt w:val="decimal"/>
      <w:start w:val="2"/>
    </w:lvl>
    <w:lvl w:ilvl="1">
      <w:lvlJc w:val="left"/>
      <w:lvlText w:val="%2"/>
      <w:numFmt w:val="lowerLetter"/>
      <w:start w:val="1"/>
    </w:lvl>
  </w:abstractNum>
  <w:abstractNum w:abstractNumId="317">
    <w:nsid w:val="18333C89"/>
    <w:multiLevelType w:val="hybridMultilevel"/>
    <w:lvl w:ilvl="0">
      <w:lvlJc w:val="left"/>
      <w:lvlText w:val="(%1)"/>
      <w:numFmt w:val="lowerLetter"/>
      <w:start w:val="1"/>
    </w:lvl>
    <w:lvl w:ilvl="1">
      <w:lvlJc w:val="left"/>
      <w:lvlText w:val="(%2)"/>
      <w:numFmt w:val="lowerLetter"/>
      <w:start w:val="9"/>
    </w:lvl>
  </w:abstractNum>
  <w:abstractNum w:abstractNumId="318">
    <w:nsid w:val="4BA9831A"/>
    <w:multiLevelType w:val="hybridMultilevel"/>
    <w:lvl w:ilvl="0">
      <w:lvlJc w:val="left"/>
      <w:lvlText w:val="(%1)"/>
      <w:numFmt w:val="lowerRoman"/>
      <w:start w:val="2"/>
    </w:lvl>
  </w:abstractNum>
  <w:abstractNum w:abstractNumId="319">
    <w:nsid w:val="6D71A2B"/>
    <w:multiLevelType w:val="hybridMultilevel"/>
    <w:lvl w:ilvl="0">
      <w:lvlJc w:val="left"/>
      <w:lvlText w:val="(%1)"/>
      <w:numFmt w:val="lowerRoman"/>
      <w:start w:val="3"/>
    </w:lvl>
  </w:abstractNum>
  <w:abstractNum w:abstractNumId="320">
    <w:nsid w:val="CFC7321"/>
    <w:multiLevelType w:val="hybridMultilevel"/>
    <w:lvl w:ilvl="0">
      <w:lvlJc w:val="left"/>
      <w:lvlText w:val=")"/>
      <w:numFmt w:val="bullet"/>
      <w:start w:val="1"/>
    </w:lvl>
  </w:abstractNum>
  <w:abstractNum w:abstractNumId="321">
    <w:nsid w:val="1421971B"/>
    <w:multiLevelType w:val="hybridMultilevel"/>
    <w:lvl w:ilvl="0">
      <w:lvlJc w:val="left"/>
      <w:lvlText w:val="%1."/>
      <w:numFmt w:val="decimal"/>
      <w:start w:val="1"/>
    </w:lvl>
  </w:abstractNum>
  <w:abstractNum w:abstractNumId="322">
    <w:nsid w:val="1F404301"/>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323">
    <w:nsid w:val="116E0907"/>
    <w:multiLevelType w:val="hybridMultilevel"/>
    <w:lvl w:ilvl="0">
      <w:lvlJc w:val="left"/>
      <w:lvlText w:val="%1"/>
      <w:numFmt w:val="lowerLetter"/>
      <w:start w:val="1"/>
    </w:lvl>
    <w:lvl w:ilvl="1">
      <w:lvlJc w:val="left"/>
      <w:lvlText w:val="(%2)"/>
      <w:numFmt w:val="lowerRoman"/>
      <w:start w:val="6"/>
    </w:lvl>
  </w:abstractNum>
  <w:abstractNum w:abstractNumId="324">
    <w:nsid w:val="4B683D0D"/>
    <w:multiLevelType w:val="hybridMultilevel"/>
    <w:lvl w:ilvl="0">
      <w:lvlJc w:val="left"/>
      <w:lvlText w:val="(%1)"/>
      <w:numFmt w:val="lowerLetter"/>
      <w:start w:val="3"/>
    </w:lvl>
    <w:lvl w:ilvl="1">
      <w:lvlJc w:val="left"/>
      <w:lvlText w:val="(%2)"/>
      <w:numFmt w:val="lowerRoman"/>
      <w:start w:val="1"/>
    </w:lvl>
  </w:abstractNum>
  <w:abstractNum w:abstractNumId="325">
    <w:nsid w:val="76E41D8"/>
    <w:multiLevelType w:val="hybridMultilevel"/>
    <w:lvl w:ilvl="0">
      <w:lvlJc w:val="left"/>
      <w:lvlText w:val="%1."/>
      <w:numFmt w:val="decimal"/>
      <w:start w:val="3"/>
    </w:lvl>
  </w:abstractNum>
  <w:abstractNum w:abstractNumId="326">
    <w:nsid w:val="71DCE0FD"/>
    <w:multiLevelType w:val="hybridMultilevel"/>
    <w:lvl w:ilvl="0">
      <w:lvlJc w:val="left"/>
      <w:lvlText w:val="%1."/>
      <w:numFmt w:val="decimal"/>
      <w:start w:val="4"/>
    </w:lvl>
    <w:lvl w:ilvl="1">
      <w:lvlJc w:val="left"/>
      <w:lvlText w:val="(%2)"/>
      <w:numFmt w:val="lowerLetter"/>
      <w:start w:val="2"/>
    </w:lvl>
  </w:abstractNum>
  <w:abstractNum w:abstractNumId="327">
    <w:nsid w:val="7906328B"/>
    <w:multiLevelType w:val="hybridMultilevel"/>
    <w:lvl w:ilvl="0">
      <w:lvlJc w:val="left"/>
      <w:lvlText w:val="%1."/>
      <w:numFmt w:val="decimal"/>
      <w:start w:val="1"/>
    </w:lvl>
  </w:abstractNum>
  <w:abstractNum w:abstractNumId="328">
    <w:nsid w:val="72BBC16"/>
    <w:multiLevelType w:val="hybridMultilevel"/>
    <w:lvl w:ilvl="0">
      <w:lvlJc w:val="left"/>
      <w:lvlText w:val="%1."/>
      <w:numFmt w:val="decimal"/>
      <w:start w:val="11"/>
    </w:lvl>
  </w:abstractNum>
  <w:abstractNum w:abstractNumId="329">
    <w:nsid w:val="766D98C2"/>
    <w:multiLevelType w:val="hybridMultilevel"/>
    <w:lvl w:ilvl="0">
      <w:lvlJc w:val="left"/>
      <w:lvlText w:val="%1."/>
      <w:numFmt w:val="decimal"/>
      <w:start w:val="1"/>
    </w:lvl>
  </w:abstractNum>
  <w:abstractNum w:abstractNumId="330">
    <w:nsid w:val="3C09D4A1"/>
    <w:multiLevelType w:val="hybridMultilevel"/>
    <w:lvl w:ilvl="0">
      <w:lvlJc w:val="left"/>
      <w:lvlText w:val="%1."/>
      <w:numFmt w:val="decimal"/>
      <w:start w:val="5"/>
    </w:lvl>
  </w:abstractNum>
  <w:abstractNum w:abstractNumId="331">
    <w:nsid w:val="20E45CA4"/>
    <w:multiLevelType w:val="hybridMultilevel"/>
    <w:lvl w:ilvl="0">
      <w:lvlJc w:val="left"/>
      <w:lvlText w:val="%1."/>
      <w:numFmt w:val="decimal"/>
      <w:start w:val="16"/>
    </w:lvl>
  </w:abstractNum>
  <w:abstractNum w:abstractNumId="332">
    <w:nsid w:val="4B232EE3"/>
    <w:multiLevelType w:val="hybridMultilevel"/>
    <w:lvl w:ilvl="0">
      <w:lvlJc w:val="left"/>
      <w:lvlText w:val="%1."/>
      <w:numFmt w:val="decimal"/>
      <w:start w:val="24"/>
    </w:lvl>
  </w:abstractNum>
  <w:abstractNum w:abstractNumId="333">
    <w:nsid w:val="159C74CF"/>
    <w:multiLevelType w:val="hybridMultilevel"/>
    <w:lvl w:ilvl="0">
      <w:lvlJc w:val="left"/>
      <w:lvlText w:val="%1."/>
      <w:numFmt w:val="decimal"/>
      <w:start w:val="31"/>
    </w:lvl>
  </w:abstractNum>
  <w:abstractNum w:abstractNumId="334">
    <w:nsid w:val="4AD3AFD2"/>
    <w:multiLevelType w:val="hybridMultilevel"/>
    <w:lvl w:ilvl="0">
      <w:lvlJc w:val="left"/>
      <w:lvlText w:val="%1."/>
      <w:numFmt w:val="decimal"/>
      <w:start w:val="32"/>
    </w:lvl>
  </w:abstractNum>
  <w:abstractNum w:abstractNumId="335">
    <w:nsid w:val="3CF93092"/>
    <w:multiLevelType w:val="hybridMultilevel"/>
    <w:lvl w:ilvl="0">
      <w:lvlJc w:val="left"/>
      <w:lvlText w:val="%1."/>
      <w:numFmt w:val="decimal"/>
      <w:start w:val="1"/>
    </w:lvl>
  </w:abstractNum>
  <w:abstractNum w:abstractNumId="336">
    <w:nsid w:val="6863E8D2"/>
    <w:multiLevelType w:val="hybridMultilevel"/>
    <w:lvl w:ilvl="0">
      <w:lvlJc w:val="left"/>
      <w:lvlText w:val="%1."/>
      <w:numFmt w:val="decimal"/>
      <w:start w:val="9"/>
    </w:lvl>
  </w:abstractNum>
  <w:abstractNum w:abstractNumId="337">
    <w:nsid w:val="76896198"/>
    <w:multiLevelType w:val="hybridMultilevel"/>
    <w:lvl w:ilvl="0">
      <w:lvlJc w:val="left"/>
      <w:lvlText w:val="%1."/>
      <w:numFmt w:val="decimal"/>
      <w:start w:val="1"/>
    </w:lvl>
  </w:abstractNum>
  <w:abstractNum w:abstractNumId="338">
    <w:nsid w:val="4365174B"/>
    <w:multiLevelType w:val="hybridMultilevel"/>
    <w:lvl w:ilvl="0">
      <w:lvlJc w:val="left"/>
      <w:lvlText w:val="%1."/>
      <w:numFmt w:val="decimal"/>
      <w:start w:val="3"/>
    </w:lvl>
  </w:abstractNum>
  <w:abstractNum w:abstractNumId="339">
    <w:nsid w:val="4A872C35"/>
    <w:multiLevelType w:val="hybridMultilevel"/>
    <w:lvl w:ilvl="0">
      <w:lvlJc w:val="left"/>
      <w:lvlText w:val="%1."/>
      <w:numFmt w:val="decimal"/>
      <w:start w:val="4"/>
    </w:lvl>
    <w:lvl w:ilvl="1">
      <w:lvlJc w:val="left"/>
      <w:lvlText w:val="-"/>
      <w:numFmt w:val="bullet"/>
      <w:start w:val="1"/>
    </w:lvl>
  </w:abstractNum>
  <w:abstractNum w:abstractNumId="340">
    <w:nsid w:val="5D5CE761"/>
    <w:multiLevelType w:val="hybridMultilevel"/>
    <w:lvl w:ilvl="0">
      <w:lvlJc w:val="left"/>
      <w:lvlText w:val="%1."/>
      <w:numFmt w:val="decimal"/>
      <w:start w:val="6"/>
    </w:lvl>
  </w:abstractNum>
  <w:abstractNum w:abstractNumId="341">
    <w:nsid w:val="1CD484D5"/>
    <w:multiLevelType w:val="hybridMultilevel"/>
    <w:lvl w:ilvl="0">
      <w:lvlJc w:val="left"/>
      <w:lvlText w:val="%1."/>
      <w:numFmt w:val="decimal"/>
      <w:start w:val="1"/>
    </w:lvl>
  </w:abstractNum>
  <w:abstractNum w:abstractNumId="342">
    <w:nsid w:val="21D06255"/>
    <w:multiLevelType w:val="hybridMultilevel"/>
    <w:lvl w:ilvl="0">
      <w:lvlJc w:val="left"/>
      <w:lvlText w:val="%1."/>
      <w:numFmt w:val="decimal"/>
      <w:start w:val="3"/>
    </w:lvl>
  </w:abstractNum>
  <w:abstractNum w:abstractNumId="343">
    <w:nsid w:val="51194ED1"/>
    <w:multiLevelType w:val="hybridMultilevel"/>
    <w:lvl w:ilvl="0">
      <w:lvlJc w:val="left"/>
      <w:lvlText w:val="(%1)"/>
      <w:numFmt w:val="lowerLetter"/>
      <w:start w:val="5"/>
    </w:lvl>
  </w:abstractNum>
  <w:abstractNum w:abstractNumId="344">
    <w:nsid w:val="44E2ED6C"/>
    <w:multiLevelType w:val="hybridMultilevel"/>
    <w:lvl w:ilvl="0">
      <w:lvlJc w:val="left"/>
      <w:lvlText w:val="%1."/>
      <w:numFmt w:val="decimal"/>
      <w:start w:val="4"/>
    </w:lvl>
  </w:abstractNum>
  <w:abstractNum w:abstractNumId="345">
    <w:nsid w:val="2219B33"/>
    <w:multiLevelType w:val="hybridMultilevel"/>
    <w:lvl w:ilvl="0">
      <w:lvlJc w:val="left"/>
      <w:lvlText w:val="%1."/>
      <w:numFmt w:val="decimal"/>
      <w:start w:val="5"/>
    </w:lvl>
  </w:abstractNum>
  <w:abstractNum w:abstractNumId="346">
    <w:nsid w:val="773BFBDD"/>
    <w:multiLevelType w:val="hybridMultilevel"/>
    <w:lvl w:ilvl="0">
      <w:lvlJc w:val="left"/>
      <w:lvlText w:val="(%1)"/>
      <w:numFmt w:val="lowerLetter"/>
      <w:start w:val="2"/>
    </w:lvl>
  </w:abstractNum>
  <w:abstractNum w:abstractNumId="347">
    <w:nsid w:val="2C7C62C2"/>
    <w:multiLevelType w:val="hybridMultilevel"/>
    <w:lvl w:ilvl="0">
      <w:lvlJc w:val="left"/>
      <w:lvlText w:val="%1."/>
      <w:numFmt w:val="decimal"/>
      <w:start w:val="6"/>
    </w:lvl>
  </w:abstractNum>
  <w:abstractNum w:abstractNumId="348">
    <w:nsid w:val="1A54D7BC"/>
    <w:multiLevelType w:val="hybridMultilevel"/>
    <w:lvl w:ilvl="0">
      <w:lvlJc w:val="left"/>
      <w:lvlText w:val="%1."/>
      <w:numFmt w:val="decimal"/>
      <w:start w:val="7"/>
    </w:lvl>
  </w:abstractNum>
  <w:abstractNum w:abstractNumId="349">
    <w:nsid w:val="42E57EF7"/>
    <w:multiLevelType w:val="hybridMultilevel"/>
    <w:lvl w:ilvl="0">
      <w:lvlJc w:val="left"/>
      <w:lvlText w:val="%1."/>
      <w:numFmt w:val="decimal"/>
      <w:start w:val="8"/>
    </w:lvl>
  </w:abstractNum>
  <w:abstractNum w:abstractNumId="350">
    <w:nsid w:val="33537CED"/>
    <w:multiLevelType w:val="hybridMultilevel"/>
    <w:lvl w:ilvl="0">
      <w:lvlJc w:val="left"/>
      <w:lvlText w:val="%1."/>
      <w:numFmt w:val="decimal"/>
      <w:start w:val="9"/>
    </w:lvl>
    <w:lvl w:ilvl="1">
      <w:lvlJc w:val="left"/>
      <w:lvlText w:val="*"/>
      <w:numFmt w:val="bullet"/>
      <w:start w:val="1"/>
    </w:lvl>
    <w:lvl w:ilvl="2">
      <w:lvlJc w:val="left"/>
      <w:lvlText w:val="-"/>
      <w:numFmt w:val="bullet"/>
      <w:start w:val="1"/>
    </w:lvl>
  </w:abstractNum>
  <w:abstractNum w:abstractNumId="351">
    <w:nsid w:val="27514ADE"/>
    <w:multiLevelType w:val="hybridMultilevel"/>
    <w:lvl w:ilvl="0">
      <w:lvlJc w:val="left"/>
      <w:lvlText w:val="\ldblquote"/>
      <w:numFmt w:val="bullet"/>
      <w:start w:val="1"/>
    </w:lvl>
  </w:abstractNum>
  <w:abstractNum w:abstractNumId="352">
    <w:nsid w:val="57071613"/>
    <w:multiLevelType w:val="hybridMultilevel"/>
    <w:lvl w:ilvl="0">
      <w:lvlJc w:val="left"/>
      <w:lvlText w:val="\ldblquote"/>
      <w:numFmt w:val="bullet"/>
      <w:start w:val="1"/>
    </w:lvl>
  </w:abstractNum>
  <w:abstractNum w:abstractNumId="353">
    <w:nsid w:val="5293BFEF"/>
    <w:multiLevelType w:val="hybridMultilevel"/>
    <w:lvl w:ilvl="0">
      <w:lvlJc w:val="left"/>
      <w:lvlText w:val="\ldblquote"/>
      <w:numFmt w:val="bullet"/>
      <w:start w:val="1"/>
    </w:lvl>
  </w:abstractNum>
  <w:abstractNum w:abstractNumId="354">
    <w:nsid w:val="38BF53E5"/>
    <w:multiLevelType w:val="hybridMultilevel"/>
    <w:lvl w:ilvl="0">
      <w:lvlJc w:val="left"/>
      <w:lvlText w:val="\ldblquote"/>
      <w:numFmt w:val="bullet"/>
      <w:start w:val="1"/>
    </w:lvl>
  </w:abstractNum>
  <w:abstractNum w:abstractNumId="355">
    <w:nsid w:val="226F5320"/>
    <w:multiLevelType w:val="hybridMultilevel"/>
    <w:lvl w:ilvl="0">
      <w:lvlJc w:val="left"/>
      <w:lvlText w:val="%1."/>
      <w:numFmt w:val="decimal"/>
      <w:start w:val="1"/>
    </w:lvl>
  </w:abstractNum>
  <w:abstractNum w:abstractNumId="356">
    <w:nsid w:val="5A0201C7"/>
    <w:multiLevelType w:val="hybridMultilevel"/>
    <w:lvl w:ilvl="0">
      <w:lvlJc w:val="left"/>
      <w:lvlText w:val="%1."/>
      <w:numFmt w:val="decimal"/>
      <w:start w:val="4"/>
    </w:lvl>
  </w:abstractNum>
  <w:abstractNum w:abstractNumId="357">
    <w:nsid w:val="2A9C34E2"/>
    <w:multiLevelType w:val="hybridMultilevel"/>
    <w:lvl w:ilvl="0">
      <w:lvlJc w:val="left"/>
      <w:lvlText w:val="%1"/>
      <w:numFmt w:val="decimal"/>
      <w:start w:val="1"/>
    </w:lvl>
    <w:lvl w:ilvl="1">
      <w:lvlJc w:val="left"/>
      <w:lvlText w:val="(%2)"/>
      <w:numFmt w:val="lowerLetter"/>
      <w:start w:val="1"/>
    </w:lvl>
  </w:abstractNum>
  <w:abstractNum w:abstractNumId="358">
    <w:nsid w:val="1B7585AB"/>
    <w:multiLevelType w:val="hybridMultilevel"/>
    <w:lvl w:ilvl="0">
      <w:lvlJc w:val="left"/>
      <w:lvlText w:val="%1."/>
      <w:numFmt w:val="decimal"/>
      <w:start w:val="6"/>
    </w:lvl>
    <w:lvl w:ilvl="1">
      <w:lvlJc w:val="left"/>
      <w:lvlText w:val="%2"/>
      <w:numFmt w:val="lowerLetter"/>
      <w:start w:val="1"/>
    </w:lvl>
  </w:abstractNum>
  <w:abstractNum w:abstractNumId="359">
    <w:nsid w:val="612DBDDD"/>
    <w:multiLevelType w:val="hybridMultilevel"/>
    <w:lvl w:ilvl="0">
      <w:lvlJc w:val="left"/>
      <w:lvlText w:val="(%1)"/>
      <w:numFmt w:val="lowerRoman"/>
      <w:start w:val="2"/>
    </w:lvl>
  </w:abstractNum>
  <w:abstractNum w:abstractNumId="360">
    <w:nsid w:val="2109CDA4"/>
    <w:multiLevelType w:val="hybridMultilevel"/>
    <w:lvl w:ilvl="0">
      <w:lvlJc w:val="left"/>
      <w:lvlText w:val="%1."/>
      <w:numFmt w:val="decimal"/>
      <w:start w:val="7"/>
    </w:lvl>
  </w:abstractNum>
  <w:abstractNum w:abstractNumId="361">
    <w:nsid w:val="577F5A4D"/>
    <w:multiLevelType w:val="hybridMultilevel"/>
    <w:lvl w:ilvl="0">
      <w:lvlJc w:val="left"/>
      <w:lvlText w:val="%1"/>
      <w:numFmt w:val="lowerLetter"/>
      <w:start w:val="1"/>
    </w:lvl>
    <w:lvl w:ilvl="1">
      <w:lvlJc w:val="left"/>
      <w:lvlText w:val="(%2)"/>
      <w:numFmt w:val="lowerLetter"/>
      <w:start w:val="1"/>
    </w:lvl>
  </w:abstractNum>
  <w:abstractNum w:abstractNumId="362">
    <w:nsid w:val="2121A81"/>
    <w:multiLevelType w:val="hybridMultilevel"/>
    <w:lvl w:ilvl="0">
      <w:lvlJc w:val="left"/>
      <w:lvlText w:val="(%1)"/>
      <w:numFmt w:val="lowerLetter"/>
      <w:start w:val="9"/>
    </w:lvl>
    <w:lvl w:ilvl="1">
      <w:lvlJc w:val="left"/>
      <w:lvlText w:val="%2"/>
      <w:numFmt w:val="lowerLetter"/>
      <w:start w:val="1"/>
    </w:lvl>
  </w:abstractNum>
  <w:abstractNum w:abstractNumId="363">
    <w:nsid w:val="6C2CFC88"/>
    <w:multiLevelType w:val="hybridMultilevel"/>
    <w:lvl w:ilvl="0">
      <w:lvlJc w:val="left"/>
      <w:lvlText w:val="(%1)"/>
      <w:numFmt w:val="lowerLetter"/>
      <w:start w:val="25"/>
    </w:lvl>
  </w:abstractNum>
  <w:abstractNum w:abstractNumId="364">
    <w:nsid w:val="6D1BCF1C"/>
    <w:multiLevelType w:val="hybridMultilevel"/>
    <w:lvl w:ilvl="0">
      <w:lvlJc w:val="left"/>
      <w:lvlText w:val="%1."/>
      <w:numFmt w:val="decimal"/>
      <w:start w:val="8"/>
    </w:lvl>
  </w:abstractNum>
  <w:abstractNum w:abstractNumId="365">
    <w:nsid w:val="4CE5CA53"/>
    <w:multiLevelType w:val="hybridMultilevel"/>
    <w:lvl w:ilvl="0">
      <w:lvlJc w:val="left"/>
      <w:lvlText w:val="(%1)"/>
      <w:numFmt w:val="lowerLetter"/>
      <w:start w:val="2"/>
    </w:lvl>
    <w:lvl w:ilvl="1">
      <w:lvlJc w:val="left"/>
      <w:lvlText w:val="%2."/>
      <w:numFmt w:val="decimal"/>
      <w:start w:val="10"/>
    </w:lvl>
  </w:abstractNum>
  <w:abstractNum w:abstractNumId="366">
    <w:nsid w:val="29262D1A"/>
    <w:multiLevelType w:val="hybridMultilevel"/>
    <w:lvl w:ilvl="0">
      <w:lvlJc w:val="left"/>
      <w:lvlText w:val="%1."/>
      <w:numFmt w:val="decimal"/>
      <w:start w:val="1"/>
    </w:lvl>
  </w:abstractNum>
  <w:abstractNum w:abstractNumId="367">
    <w:nsid w:val="557FB7EE"/>
    <w:multiLevelType w:val="hybridMultilevel"/>
    <w:lvl w:ilvl="0">
      <w:lvlJc w:val="left"/>
      <w:lvlText w:val="%1."/>
      <w:numFmt w:val="decimal"/>
      <w:start w:val="4"/>
    </w:lvl>
  </w:abstractNum>
  <w:abstractNum w:abstractNumId="368">
    <w:nsid w:val="436F2BEB"/>
    <w:multiLevelType w:val="hybridMultilevel"/>
    <w:lvl w:ilvl="0">
      <w:lvlJc w:val="left"/>
      <w:lvlText w:val="%1"/>
      <w:numFmt w:val="decimal"/>
      <w:start w:val="1"/>
    </w:lvl>
    <w:lvl w:ilvl="1">
      <w:lvlJc w:val="left"/>
      <w:lvlText w:val="(%2)"/>
      <w:numFmt w:val="lowerLetter"/>
      <w:start w:val="1"/>
    </w:lvl>
  </w:abstractNum>
  <w:abstractNum w:abstractNumId="369">
    <w:nsid w:val="6C8B4466"/>
    <w:multiLevelType w:val="hybridMultilevel"/>
    <w:lvl w:ilvl="0">
      <w:lvlJc w:val="left"/>
      <w:lvlText w:val="%1."/>
      <w:numFmt w:val="decimal"/>
      <w:start w:val="6"/>
    </w:lvl>
    <w:lvl w:ilvl="1">
      <w:lvlJc w:val="left"/>
      <w:lvlText w:val="%2"/>
      <w:numFmt w:val="lowerLetter"/>
      <w:start w:val="1"/>
    </w:lvl>
  </w:abstractNum>
  <w:abstractNum w:abstractNumId="370">
    <w:nsid w:val="2006E424"/>
    <w:multiLevelType w:val="hybridMultilevel"/>
    <w:lvl w:ilvl="0">
      <w:lvlJc w:val="left"/>
      <w:lvlText w:val="%1."/>
      <w:numFmt w:val="decimal"/>
      <w:start w:val="7"/>
    </w:lvl>
  </w:abstractNum>
  <w:abstractNum w:abstractNumId="371">
    <w:nsid w:val="20CC134C"/>
    <w:multiLevelType w:val="hybridMultilevel"/>
    <w:lvl w:ilvl="0">
      <w:lvlJc w:val="left"/>
      <w:lvlText w:val="(%1)"/>
      <w:numFmt w:val="lowerLetter"/>
      <w:start w:val="4"/>
    </w:lvl>
  </w:abstractNum>
  <w:abstractNum w:abstractNumId="372">
    <w:nsid w:val="95FC93B"/>
    <w:multiLevelType w:val="hybridMultilevel"/>
    <w:lvl w:ilvl="0">
      <w:lvlJc w:val="left"/>
      <w:lvlText w:val="(%1)"/>
      <w:numFmt w:val="lowerLetter"/>
      <w:start w:val="1"/>
    </w:lvl>
  </w:abstractNum>
  <w:abstractNum w:abstractNumId="373">
    <w:nsid w:val="41D74679"/>
    <w:multiLevelType w:val="hybridMultilevel"/>
    <w:lvl w:ilvl="0">
      <w:lvlJc w:val="left"/>
      <w:lvlText w:val="%1."/>
      <w:numFmt w:val="decimal"/>
      <w:start w:val="8"/>
    </w:lvl>
  </w:abstractNum>
  <w:abstractNum w:abstractNumId="374">
    <w:nsid w:val="71E5621E"/>
    <w:multiLevelType w:val="hybridMultilevel"/>
    <w:lvl w:ilvl="0">
      <w:lvlJc w:val="left"/>
      <w:lvlText w:val="%1."/>
      <w:numFmt w:val="decimal"/>
      <w:start w:val="10"/>
    </w:lvl>
  </w:abstractNum>
  <w:abstractNum w:abstractNumId="375">
    <w:nsid w:val="4E42B6A8"/>
    <w:multiLevelType w:val="hybridMultilevel"/>
    <w:lvl w:ilvl="0">
      <w:lvlJc w:val="left"/>
      <w:lvlText w:val="%1."/>
      <w:numFmt w:val="decimal"/>
      <w:start w:val="1"/>
    </w:lvl>
  </w:abstractNum>
  <w:abstractNum w:abstractNumId="376">
    <w:nsid w:val="43F8E1AC"/>
    <w:multiLevelType w:val="hybridMultilevel"/>
    <w:lvl w:ilvl="0">
      <w:lvlJc w:val="left"/>
      <w:lvlText w:val="%1."/>
      <w:numFmt w:val="decimal"/>
      <w:start w:val="4"/>
    </w:lvl>
  </w:abstractNum>
  <w:abstractNum w:abstractNumId="377">
    <w:nsid w:val="69215DFB"/>
    <w:multiLevelType w:val="hybridMultilevel"/>
    <w:lvl w:ilvl="0">
      <w:lvlJc w:val="left"/>
      <w:lvlText w:val="(%1)"/>
      <w:numFmt w:val="lowerLetter"/>
      <w:start w:val="1"/>
    </w:lvl>
  </w:abstractNum>
  <w:abstractNum w:abstractNumId="378">
    <w:nsid w:val="7ABF196A"/>
    <w:multiLevelType w:val="hybridMultilevel"/>
    <w:lvl w:ilvl="0">
      <w:lvlJc w:val="left"/>
      <w:lvlText w:val="%1"/>
      <w:numFmt w:val="decimal"/>
      <w:start w:val="1"/>
    </w:lvl>
    <w:lvl w:ilvl="1">
      <w:lvlJc w:val="left"/>
      <w:lvlText w:val="(%2)"/>
      <w:numFmt w:val="lowerLetter"/>
      <w:start w:val="1"/>
    </w:lvl>
  </w:abstractNum>
  <w:abstractNum w:abstractNumId="379">
    <w:nsid w:val="5E4DB968"/>
    <w:multiLevelType w:val="hybridMultilevel"/>
    <w:lvl w:ilvl="0">
      <w:lvlJc w:val="left"/>
      <w:lvlText w:val="%1."/>
      <w:numFmt w:val="decimal"/>
      <w:start w:val="6"/>
    </w:lvl>
    <w:lvl w:ilvl="1">
      <w:lvlJc w:val="left"/>
      <w:lvlText w:val="%2"/>
      <w:numFmt w:val="lowerLetter"/>
      <w:start w:val="1"/>
    </w:lvl>
  </w:abstractNum>
  <w:abstractNum w:abstractNumId="380">
    <w:nsid w:val="2C06DCF3"/>
    <w:multiLevelType w:val="hybridMultilevel"/>
    <w:lvl w:ilvl="0">
      <w:lvlJc w:val="left"/>
      <w:lvlText w:val="(%1)"/>
      <w:numFmt w:val="lowerRoman"/>
      <w:start w:val="2"/>
    </w:lvl>
  </w:abstractNum>
  <w:abstractNum w:abstractNumId="381">
    <w:nsid w:val="2E129658"/>
    <w:multiLevelType w:val="hybridMultilevel"/>
    <w:lvl w:ilvl="0">
      <w:lvlJc w:val="left"/>
      <w:lvlText w:val="%1."/>
      <w:numFmt w:val="decimal"/>
      <w:start w:val="7"/>
    </w:lvl>
  </w:abstractNum>
  <w:abstractNum w:abstractNumId="382">
    <w:nsid w:val="59F0446"/>
    <w:multiLevelType w:val="hybridMultilevel"/>
    <w:lvl w:ilvl="0">
      <w:lvlJc w:val="left"/>
      <w:lvlText w:val="%1"/>
      <w:numFmt w:val="lowerLetter"/>
      <w:start w:val="1"/>
    </w:lvl>
    <w:lvl w:ilvl="1">
      <w:lvlJc w:val="left"/>
      <w:lvlText w:val="(%2)"/>
      <w:numFmt w:val="lowerLetter"/>
      <w:start w:val="1"/>
    </w:lvl>
  </w:abstractNum>
  <w:abstractNum w:abstractNumId="383">
    <w:nsid w:val="30DF306"/>
    <w:multiLevelType w:val="hybridMultilevel"/>
    <w:lvl w:ilvl="0">
      <w:lvlJc w:val="left"/>
      <w:lvlText w:val="(%1)"/>
      <w:numFmt w:val="lowerLetter"/>
      <w:start w:val="9"/>
    </w:lvl>
    <w:lvl w:ilvl="1">
      <w:lvlJc w:val="left"/>
      <w:lvlText w:val="%2"/>
      <w:numFmt w:val="lowerLetter"/>
      <w:start w:val="1"/>
    </w:lvl>
  </w:abstractNum>
  <w:abstractNum w:abstractNumId="384">
    <w:nsid w:val="A65647"/>
    <w:multiLevelType w:val="hybridMultilevel"/>
    <w:lvl w:ilvl="0">
      <w:lvlJc w:val="left"/>
      <w:lvlText w:val="(%1)"/>
      <w:numFmt w:val="lowerLetter"/>
      <w:start w:val="25"/>
    </w:lvl>
  </w:abstractNum>
  <w:abstractNum w:abstractNumId="385">
    <w:nsid w:val="3E5E582B"/>
    <w:multiLevelType w:val="hybridMultilevel"/>
    <w:lvl w:ilvl="0">
      <w:lvlJc w:val="left"/>
      <w:lvlText w:val="%1."/>
      <w:numFmt w:val="decimal"/>
      <w:start w:val="8"/>
    </w:lvl>
  </w:abstractNum>
  <w:abstractNum w:abstractNumId="386">
    <w:nsid w:val="257D4626"/>
    <w:multiLevelType w:val="hybridMultilevel"/>
    <w:lvl w:ilvl="0">
      <w:lvlJc w:val="left"/>
      <w:lvlText w:val="(%1)"/>
      <w:numFmt w:val="lowerLetter"/>
      <w:start w:val="2"/>
    </w:lvl>
    <w:lvl w:ilvl="1">
      <w:lvlJc w:val="left"/>
      <w:lvlText w:val="%2."/>
      <w:numFmt w:val="decimal"/>
      <w:start w:val="10"/>
    </w:lvl>
  </w:abstractNum>
  <w:abstractNum w:abstractNumId="387">
    <w:nsid w:val="5AA8580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71"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5" Type="http://schemas.openxmlformats.org/officeDocument/2006/relationships/image" Target="media/image463.png"/><Relationship Id="rId476" Type="http://schemas.openxmlformats.org/officeDocument/2006/relationships/image" Target="media/image464.png"/><Relationship Id="rId477" Type="http://schemas.openxmlformats.org/officeDocument/2006/relationships/image" Target="media/image465.png"/><Relationship Id="rId478" Type="http://schemas.openxmlformats.org/officeDocument/2006/relationships/image" Target="media/image466.png"/><Relationship Id="rId479" Type="http://schemas.openxmlformats.org/officeDocument/2006/relationships/image" Target="media/image467.png"/><Relationship Id="rId480" Type="http://schemas.openxmlformats.org/officeDocument/2006/relationships/image" Target="media/image468.png"/><Relationship Id="rId481" Type="http://schemas.openxmlformats.org/officeDocument/2006/relationships/image" Target="media/image469.png"/><Relationship Id="rId482" Type="http://schemas.openxmlformats.org/officeDocument/2006/relationships/image" Target="media/image470.png"/><Relationship Id="rId483" Type="http://schemas.openxmlformats.org/officeDocument/2006/relationships/image" Target="media/image471.png"/><Relationship Id="rId484" Type="http://schemas.openxmlformats.org/officeDocument/2006/relationships/image" Target="media/image472.png"/><Relationship Id="rId485" Type="http://schemas.openxmlformats.org/officeDocument/2006/relationships/image" Target="media/image473.png"/><Relationship Id="rId486" Type="http://schemas.openxmlformats.org/officeDocument/2006/relationships/image" Target="media/image474.png"/><Relationship Id="rId487" Type="http://schemas.openxmlformats.org/officeDocument/2006/relationships/image" Target="media/image475.png"/><Relationship Id="rId488" Type="http://schemas.openxmlformats.org/officeDocument/2006/relationships/image" Target="media/image476.png"/><Relationship Id="rId489" Type="http://schemas.openxmlformats.org/officeDocument/2006/relationships/image" Target="media/image477.png"/><Relationship Id="rId490" Type="http://schemas.openxmlformats.org/officeDocument/2006/relationships/image" Target="media/image478.png"/><Relationship Id="rId491" Type="http://schemas.openxmlformats.org/officeDocument/2006/relationships/image" Target="media/image479.png"/><Relationship Id="rId492" Type="http://schemas.openxmlformats.org/officeDocument/2006/relationships/image" Target="media/image480.png"/><Relationship Id="rId493" Type="http://schemas.openxmlformats.org/officeDocument/2006/relationships/image" Target="media/image481.png"/><Relationship Id="rId494"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505" Type="http://schemas.openxmlformats.org/officeDocument/2006/relationships/image" Target="media/image493.png"/><Relationship Id="rId506" Type="http://schemas.openxmlformats.org/officeDocument/2006/relationships/image" Target="media/image494.png"/><Relationship Id="rId507" Type="http://schemas.openxmlformats.org/officeDocument/2006/relationships/image" Target="media/image495.png"/><Relationship Id="rId508" Type="http://schemas.openxmlformats.org/officeDocument/2006/relationships/image" Target="media/image496.png"/><Relationship Id="rId509" Type="http://schemas.openxmlformats.org/officeDocument/2006/relationships/image" Target="media/image497.png"/><Relationship Id="rId510" Type="http://schemas.openxmlformats.org/officeDocument/2006/relationships/image" Target="media/image498.png"/><Relationship Id="rId511" Type="http://schemas.openxmlformats.org/officeDocument/2006/relationships/image" Target="media/image499.png"/><Relationship Id="rId512" Type="http://schemas.openxmlformats.org/officeDocument/2006/relationships/image" Target="media/image500.png"/><Relationship Id="rId513" Type="http://schemas.openxmlformats.org/officeDocument/2006/relationships/image" Target="media/image501.png"/><Relationship Id="rId514" Type="http://schemas.openxmlformats.org/officeDocument/2006/relationships/image" Target="media/image502.png"/><Relationship Id="rId515" Type="http://schemas.openxmlformats.org/officeDocument/2006/relationships/image" Target="media/image503.png"/><Relationship Id="rId516" Type="http://schemas.openxmlformats.org/officeDocument/2006/relationships/image" Target="media/image504.png"/><Relationship Id="rId517" Type="http://schemas.openxmlformats.org/officeDocument/2006/relationships/image" Target="media/image505.png"/><Relationship Id="rId518" Type="http://schemas.openxmlformats.org/officeDocument/2006/relationships/image" Target="media/image506.png"/><Relationship Id="rId519" Type="http://schemas.openxmlformats.org/officeDocument/2006/relationships/image" Target="media/image507.png"/><Relationship Id="rId520" Type="http://schemas.openxmlformats.org/officeDocument/2006/relationships/image" Target="media/image508.png"/><Relationship Id="rId521" Type="http://schemas.openxmlformats.org/officeDocument/2006/relationships/image" Target="media/image509.png"/><Relationship Id="rId522" Type="http://schemas.openxmlformats.org/officeDocument/2006/relationships/image" Target="media/image510.png"/><Relationship Id="rId523" Type="http://schemas.openxmlformats.org/officeDocument/2006/relationships/image" Target="media/image511.png"/><Relationship Id="rId524" Type="http://schemas.openxmlformats.org/officeDocument/2006/relationships/image" Target="media/image512.png"/><Relationship Id="rId525" Type="http://schemas.openxmlformats.org/officeDocument/2006/relationships/image" Target="media/image513.png"/><Relationship Id="rId526" Type="http://schemas.openxmlformats.org/officeDocument/2006/relationships/image" Target="media/image514.png"/><Relationship Id="rId527" Type="http://schemas.openxmlformats.org/officeDocument/2006/relationships/image" Target="media/image515.png"/><Relationship Id="rId528" Type="http://schemas.openxmlformats.org/officeDocument/2006/relationships/image" Target="media/image516.png"/><Relationship Id="rId529" Type="http://schemas.openxmlformats.org/officeDocument/2006/relationships/image" Target="media/image517.png"/><Relationship Id="rId530" Type="http://schemas.openxmlformats.org/officeDocument/2006/relationships/image" Target="media/image518.png"/><Relationship Id="rId531" Type="http://schemas.openxmlformats.org/officeDocument/2006/relationships/image" Target="media/image519.png"/><Relationship Id="rId532" Type="http://schemas.openxmlformats.org/officeDocument/2006/relationships/image" Target="media/image520.png"/><Relationship Id="rId533" Type="http://schemas.openxmlformats.org/officeDocument/2006/relationships/image" Target="media/image521.png"/><Relationship Id="rId534" Type="http://schemas.openxmlformats.org/officeDocument/2006/relationships/image" Target="media/image522.png"/><Relationship Id="rId535" Type="http://schemas.openxmlformats.org/officeDocument/2006/relationships/image" Target="media/image523.png"/><Relationship Id="rId536" Type="http://schemas.openxmlformats.org/officeDocument/2006/relationships/image" Target="media/image524.png"/><Relationship Id="rId537" Type="http://schemas.openxmlformats.org/officeDocument/2006/relationships/image" Target="media/image525.png"/><Relationship Id="rId538" Type="http://schemas.openxmlformats.org/officeDocument/2006/relationships/image" Target="media/image526.png"/><Relationship Id="rId539" Type="http://schemas.openxmlformats.org/officeDocument/2006/relationships/image" Target="media/image527.png"/><Relationship Id="rId540" Type="http://schemas.openxmlformats.org/officeDocument/2006/relationships/image" Target="media/image528.png"/><Relationship Id="rId541" Type="http://schemas.openxmlformats.org/officeDocument/2006/relationships/image" Target="media/image529.png"/><Relationship Id="rId542" Type="http://schemas.openxmlformats.org/officeDocument/2006/relationships/image" Target="media/image530.png"/><Relationship Id="rId543" Type="http://schemas.openxmlformats.org/officeDocument/2006/relationships/image" Target="media/image531.png"/><Relationship Id="rId544" Type="http://schemas.openxmlformats.org/officeDocument/2006/relationships/image" Target="media/image532.png"/><Relationship Id="rId545" Type="http://schemas.openxmlformats.org/officeDocument/2006/relationships/image" Target="media/image533.png"/><Relationship Id="rId546" Type="http://schemas.openxmlformats.org/officeDocument/2006/relationships/image" Target="media/image534.png"/><Relationship Id="rId547" Type="http://schemas.openxmlformats.org/officeDocument/2006/relationships/image" Target="media/image535.png"/><Relationship Id="rId548" Type="http://schemas.openxmlformats.org/officeDocument/2006/relationships/image" Target="media/image536.png"/><Relationship Id="rId549" Type="http://schemas.openxmlformats.org/officeDocument/2006/relationships/image" Target="media/image537.png"/><Relationship Id="rId550" Type="http://schemas.openxmlformats.org/officeDocument/2006/relationships/image" Target="media/image538.png"/><Relationship Id="rId551" Type="http://schemas.openxmlformats.org/officeDocument/2006/relationships/image" Target="media/image539.png"/><Relationship Id="rId552" Type="http://schemas.openxmlformats.org/officeDocument/2006/relationships/image" Target="media/image540.png"/><Relationship Id="rId553" Type="http://schemas.openxmlformats.org/officeDocument/2006/relationships/image" Target="media/image541.png"/><Relationship Id="rId554" Type="http://schemas.openxmlformats.org/officeDocument/2006/relationships/image" Target="media/image542.png"/><Relationship Id="rId555" Type="http://schemas.openxmlformats.org/officeDocument/2006/relationships/image" Target="media/image543.png"/><Relationship Id="rId556" Type="http://schemas.openxmlformats.org/officeDocument/2006/relationships/image" Target="media/image544.png"/><Relationship Id="rId557" Type="http://schemas.openxmlformats.org/officeDocument/2006/relationships/image" Target="media/image545.png"/><Relationship Id="rId558" Type="http://schemas.openxmlformats.org/officeDocument/2006/relationships/image" Target="media/image546.png"/><Relationship Id="rId559" Type="http://schemas.openxmlformats.org/officeDocument/2006/relationships/image" Target="media/image547.png"/><Relationship Id="rId560" Type="http://schemas.openxmlformats.org/officeDocument/2006/relationships/image" Target="media/image548.png"/><Relationship Id="rId561" Type="http://schemas.openxmlformats.org/officeDocument/2006/relationships/image" Target="media/image549.png"/><Relationship Id="rId562" Type="http://schemas.openxmlformats.org/officeDocument/2006/relationships/image" Target="media/image550.png"/><Relationship Id="rId563" Type="http://schemas.openxmlformats.org/officeDocument/2006/relationships/image" Target="media/image551.png"/><Relationship Id="rId564" Type="http://schemas.openxmlformats.org/officeDocument/2006/relationships/image" Target="media/image552.png"/><Relationship Id="rId565" Type="http://schemas.openxmlformats.org/officeDocument/2006/relationships/image" Target="media/image553.png"/><Relationship Id="rId566" Type="http://schemas.openxmlformats.org/officeDocument/2006/relationships/image" Target="media/image554.png"/><Relationship Id="rId567" Type="http://schemas.openxmlformats.org/officeDocument/2006/relationships/image" Target="media/image555.png"/><Relationship Id="rId568" Type="http://schemas.openxmlformats.org/officeDocument/2006/relationships/image" Target="media/image556.png"/><Relationship Id="rId569" Type="http://schemas.openxmlformats.org/officeDocument/2006/relationships/image" Target="media/image557.png"/><Relationship Id="rId570" Type="http://schemas.openxmlformats.org/officeDocument/2006/relationships/image" Target="media/image558.png"/><Relationship Id="rId571" Type="http://schemas.openxmlformats.org/officeDocument/2006/relationships/image" Target="media/image559.png"/><Relationship Id="rId572" Type="http://schemas.openxmlformats.org/officeDocument/2006/relationships/image" Target="media/image560.png"/><Relationship Id="rId573" Type="http://schemas.openxmlformats.org/officeDocument/2006/relationships/image" Target="media/image561.png"/><Relationship Id="rId574" Type="http://schemas.openxmlformats.org/officeDocument/2006/relationships/image" Target="media/image562.png"/><Relationship Id="rId575" Type="http://schemas.openxmlformats.org/officeDocument/2006/relationships/image" Target="media/image563.png"/><Relationship Id="rId576" Type="http://schemas.openxmlformats.org/officeDocument/2006/relationships/image" Target="media/image564.png"/><Relationship Id="rId577" Type="http://schemas.openxmlformats.org/officeDocument/2006/relationships/image" Target="media/image565.png"/><Relationship Id="rId578" Type="http://schemas.openxmlformats.org/officeDocument/2006/relationships/image" Target="media/image566.png"/><Relationship Id="rId579" Type="http://schemas.openxmlformats.org/officeDocument/2006/relationships/image" Target="media/image567.png"/><Relationship Id="rId580" Type="http://schemas.openxmlformats.org/officeDocument/2006/relationships/image" Target="media/image568.png"/><Relationship Id="rId581" Type="http://schemas.openxmlformats.org/officeDocument/2006/relationships/image" Target="media/image569.png"/><Relationship Id="rId582" Type="http://schemas.openxmlformats.org/officeDocument/2006/relationships/image" Target="media/image570.png"/><Relationship Id="rId583" Type="http://schemas.openxmlformats.org/officeDocument/2006/relationships/image" Target="media/image571.png"/><Relationship Id="rId584" Type="http://schemas.openxmlformats.org/officeDocument/2006/relationships/image" Target="media/image572.png"/><Relationship Id="rId585" Type="http://schemas.openxmlformats.org/officeDocument/2006/relationships/image" Target="media/image573.png"/><Relationship Id="rId586" Type="http://schemas.openxmlformats.org/officeDocument/2006/relationships/image" Target="media/image574.png"/><Relationship Id="rId587" Type="http://schemas.openxmlformats.org/officeDocument/2006/relationships/image" Target="media/image575.png"/><Relationship Id="rId588" Type="http://schemas.openxmlformats.org/officeDocument/2006/relationships/image" Target="media/image576.png"/><Relationship Id="rId589" Type="http://schemas.openxmlformats.org/officeDocument/2006/relationships/image" Target="media/image577.png"/><Relationship Id="rId590" Type="http://schemas.openxmlformats.org/officeDocument/2006/relationships/image" Target="media/image578.png"/><Relationship Id="rId591" Type="http://schemas.openxmlformats.org/officeDocument/2006/relationships/image" Target="media/image579.png"/><Relationship Id="rId592" Type="http://schemas.openxmlformats.org/officeDocument/2006/relationships/image" Target="media/image580.png"/><Relationship Id="rId593" Type="http://schemas.openxmlformats.org/officeDocument/2006/relationships/image" Target="media/image581.png"/><Relationship Id="rId594" Type="http://schemas.openxmlformats.org/officeDocument/2006/relationships/image" Target="media/image582.png"/><Relationship Id="rId595" Type="http://schemas.openxmlformats.org/officeDocument/2006/relationships/image" Target="media/image583.png"/><Relationship Id="rId596" Type="http://schemas.openxmlformats.org/officeDocument/2006/relationships/image" Target="media/image584.png"/><Relationship Id="rId597" Type="http://schemas.openxmlformats.org/officeDocument/2006/relationships/image" Target="media/image585.png"/><Relationship Id="rId598" Type="http://schemas.openxmlformats.org/officeDocument/2006/relationships/image" Target="media/image586.png"/><Relationship Id="rId599" Type="http://schemas.openxmlformats.org/officeDocument/2006/relationships/image" Target="media/image587.png"/><Relationship Id="rId600" Type="http://schemas.openxmlformats.org/officeDocument/2006/relationships/image" Target="media/image588.png"/><Relationship Id="rId601" Type="http://schemas.openxmlformats.org/officeDocument/2006/relationships/image" Target="media/image589.png"/><Relationship Id="rId602" Type="http://schemas.openxmlformats.org/officeDocument/2006/relationships/image" Target="media/image590.png"/><Relationship Id="rId603" Type="http://schemas.openxmlformats.org/officeDocument/2006/relationships/image" Target="media/image591.png"/><Relationship Id="rId604" Type="http://schemas.openxmlformats.org/officeDocument/2006/relationships/image" Target="media/image592.png"/><Relationship Id="rId605" Type="http://schemas.openxmlformats.org/officeDocument/2006/relationships/image" Target="media/image593.png"/><Relationship Id="rId606" Type="http://schemas.openxmlformats.org/officeDocument/2006/relationships/image" Target="media/image594.png"/><Relationship Id="rId607" Type="http://schemas.openxmlformats.org/officeDocument/2006/relationships/image" Target="media/image595.png"/><Relationship Id="rId608" Type="http://schemas.openxmlformats.org/officeDocument/2006/relationships/image" Target="media/image596.png"/><Relationship Id="rId609" Type="http://schemas.openxmlformats.org/officeDocument/2006/relationships/image" Target="media/image597.png"/><Relationship Id="rId610" Type="http://schemas.openxmlformats.org/officeDocument/2006/relationships/image" Target="media/image598.png"/><Relationship Id="rId611" Type="http://schemas.openxmlformats.org/officeDocument/2006/relationships/image" Target="media/image599.png"/><Relationship Id="rId612" Type="http://schemas.openxmlformats.org/officeDocument/2006/relationships/image" Target="media/image600.png"/><Relationship Id="rId613" Type="http://schemas.openxmlformats.org/officeDocument/2006/relationships/image" Target="media/image601.png"/><Relationship Id="rId614" Type="http://schemas.openxmlformats.org/officeDocument/2006/relationships/image" Target="media/image602.png"/><Relationship Id="rId615" Type="http://schemas.openxmlformats.org/officeDocument/2006/relationships/image" Target="media/image603.png"/><Relationship Id="rId616" Type="http://schemas.openxmlformats.org/officeDocument/2006/relationships/image" Target="media/image604.png"/><Relationship Id="rId617" Type="http://schemas.openxmlformats.org/officeDocument/2006/relationships/image" Target="media/image605.png"/><Relationship Id="rId618" Type="http://schemas.openxmlformats.org/officeDocument/2006/relationships/image" Target="media/image606.png"/><Relationship Id="rId619" Type="http://schemas.openxmlformats.org/officeDocument/2006/relationships/image" Target="media/image607.png"/><Relationship Id="rId620" Type="http://schemas.openxmlformats.org/officeDocument/2006/relationships/image" Target="media/image608.png"/><Relationship Id="rId621" Type="http://schemas.openxmlformats.org/officeDocument/2006/relationships/image" Target="media/image609.png"/><Relationship Id="rId622" Type="http://schemas.openxmlformats.org/officeDocument/2006/relationships/image" Target="media/image610.png"/><Relationship Id="rId623" Type="http://schemas.openxmlformats.org/officeDocument/2006/relationships/image" Target="media/image611.png"/><Relationship Id="rId624" Type="http://schemas.openxmlformats.org/officeDocument/2006/relationships/image" Target="media/image612.png"/><Relationship Id="rId625" Type="http://schemas.openxmlformats.org/officeDocument/2006/relationships/image" Target="media/image613.png"/><Relationship Id="rId626" Type="http://schemas.openxmlformats.org/officeDocument/2006/relationships/image" Target="media/image614.png"/><Relationship Id="rId627" Type="http://schemas.openxmlformats.org/officeDocument/2006/relationships/image" Target="media/image615.png"/><Relationship Id="rId628" Type="http://schemas.openxmlformats.org/officeDocument/2006/relationships/image" Target="media/image616.png"/><Relationship Id="rId629" Type="http://schemas.openxmlformats.org/officeDocument/2006/relationships/image" Target="media/image617.png"/><Relationship Id="rId630" Type="http://schemas.openxmlformats.org/officeDocument/2006/relationships/image" Target="media/image618.png"/><Relationship Id="rId631" Type="http://schemas.openxmlformats.org/officeDocument/2006/relationships/image" Target="media/image619.png"/><Relationship Id="rId632" Type="http://schemas.openxmlformats.org/officeDocument/2006/relationships/image" Target="media/image620.png"/><Relationship Id="rId633" Type="http://schemas.openxmlformats.org/officeDocument/2006/relationships/image" Target="media/image621.png"/><Relationship Id="rId634" Type="http://schemas.openxmlformats.org/officeDocument/2006/relationships/image" Target="media/image622.png"/><Relationship Id="rId635" Type="http://schemas.openxmlformats.org/officeDocument/2006/relationships/image" Target="media/image623.png"/><Relationship Id="rId636" Type="http://schemas.openxmlformats.org/officeDocument/2006/relationships/image" Target="media/image624.png"/><Relationship Id="rId637" Type="http://schemas.openxmlformats.org/officeDocument/2006/relationships/image" Target="media/image625.jpeg"/><Relationship Id="rId638" Type="http://schemas.openxmlformats.org/officeDocument/2006/relationships/image" Target="media/image626.png"/><Relationship Id="rId639" Type="http://schemas.openxmlformats.org/officeDocument/2006/relationships/image" Target="media/image627.jpeg"/><Relationship Id="rId640" Type="http://schemas.openxmlformats.org/officeDocument/2006/relationships/image" Target="media/image628.png"/><Relationship Id="rId641" Type="http://schemas.openxmlformats.org/officeDocument/2006/relationships/image" Target="media/image629.png"/><Relationship Id="rId642" Type="http://schemas.openxmlformats.org/officeDocument/2006/relationships/image" Target="media/image630.png"/><Relationship Id="rId643" Type="http://schemas.openxmlformats.org/officeDocument/2006/relationships/image" Target="media/image631.png"/><Relationship Id="rId644" Type="http://schemas.openxmlformats.org/officeDocument/2006/relationships/image" Target="media/image632.png"/><Relationship Id="rId645" Type="http://schemas.openxmlformats.org/officeDocument/2006/relationships/image" Target="media/image633.png"/><Relationship Id="rId646" Type="http://schemas.openxmlformats.org/officeDocument/2006/relationships/image" Target="media/image634.png"/><Relationship Id="rId647" Type="http://schemas.openxmlformats.org/officeDocument/2006/relationships/image" Target="media/image635.png"/><Relationship Id="rId648" Type="http://schemas.openxmlformats.org/officeDocument/2006/relationships/image" Target="media/image636.png"/><Relationship Id="rId649" Type="http://schemas.openxmlformats.org/officeDocument/2006/relationships/image" Target="media/image637.png"/><Relationship Id="rId650" Type="http://schemas.openxmlformats.org/officeDocument/2006/relationships/image" Target="media/image638.png"/><Relationship Id="rId651" Type="http://schemas.openxmlformats.org/officeDocument/2006/relationships/image" Target="media/image639.png"/><Relationship Id="rId652" Type="http://schemas.openxmlformats.org/officeDocument/2006/relationships/image" Target="media/image640.png"/><Relationship Id="rId653" Type="http://schemas.openxmlformats.org/officeDocument/2006/relationships/image" Target="media/image641.png"/><Relationship Id="rId654" Type="http://schemas.openxmlformats.org/officeDocument/2006/relationships/image" Target="media/image642.png"/><Relationship Id="rId655" Type="http://schemas.openxmlformats.org/officeDocument/2006/relationships/image" Target="media/image643.png"/><Relationship Id="rId656" Type="http://schemas.openxmlformats.org/officeDocument/2006/relationships/image" Target="media/image644.png"/><Relationship Id="rId657" Type="http://schemas.openxmlformats.org/officeDocument/2006/relationships/image" Target="media/image645.png"/><Relationship Id="rId658" Type="http://schemas.openxmlformats.org/officeDocument/2006/relationships/image" Target="media/image646.png"/><Relationship Id="rId659" Type="http://schemas.openxmlformats.org/officeDocument/2006/relationships/image" Target="media/image647.png"/><Relationship Id="rId660" Type="http://schemas.openxmlformats.org/officeDocument/2006/relationships/image" Target="media/image648.png"/><Relationship Id="rId661" Type="http://schemas.openxmlformats.org/officeDocument/2006/relationships/image" Target="media/image649.png"/><Relationship Id="rId662" Type="http://schemas.openxmlformats.org/officeDocument/2006/relationships/image" Target="media/image650.png"/><Relationship Id="rId663" Type="http://schemas.openxmlformats.org/officeDocument/2006/relationships/image" Target="media/image651.png"/><Relationship Id="rId664" Type="http://schemas.openxmlformats.org/officeDocument/2006/relationships/image" Target="media/image652.png"/><Relationship Id="rId665" Type="http://schemas.openxmlformats.org/officeDocument/2006/relationships/image" Target="media/image653.png"/><Relationship Id="rId666" Type="http://schemas.openxmlformats.org/officeDocument/2006/relationships/image" Target="media/image654.png"/><Relationship Id="rId667" Type="http://schemas.openxmlformats.org/officeDocument/2006/relationships/image" Target="media/image655.png"/><Relationship Id="rId668" Type="http://schemas.openxmlformats.org/officeDocument/2006/relationships/image" Target="media/image656.png"/><Relationship Id="rId669" Type="http://schemas.openxmlformats.org/officeDocument/2006/relationships/image" Target="media/image657.png"/><Relationship Id="rId670" Type="http://schemas.openxmlformats.org/officeDocument/2006/relationships/image" Target="media/image658.png"/><Relationship Id="rId671" Type="http://schemas.openxmlformats.org/officeDocument/2006/relationships/image" Target="media/image659.jpeg"/><Relationship Id="rId672" Type="http://schemas.openxmlformats.org/officeDocument/2006/relationships/image" Target="media/image660.png"/><Relationship Id="rId673" Type="http://schemas.openxmlformats.org/officeDocument/2006/relationships/image" Target="media/image661.png"/><Relationship Id="rId674" Type="http://schemas.openxmlformats.org/officeDocument/2006/relationships/image" Target="media/image662.png"/><Relationship Id="rId675" Type="http://schemas.openxmlformats.org/officeDocument/2006/relationships/image" Target="media/image663.png"/><Relationship Id="rId676" Type="http://schemas.openxmlformats.org/officeDocument/2006/relationships/image" Target="media/image664.png"/><Relationship Id="rId677" Type="http://schemas.openxmlformats.org/officeDocument/2006/relationships/image" Target="media/image665.png"/><Relationship Id="rId678" Type="http://schemas.openxmlformats.org/officeDocument/2006/relationships/image" Target="media/image666.png"/><Relationship Id="rId679" Type="http://schemas.openxmlformats.org/officeDocument/2006/relationships/image" Target="media/image667.png"/><Relationship Id="rId680" Type="http://schemas.openxmlformats.org/officeDocument/2006/relationships/image" Target="media/image668.png"/><Relationship Id="rId681" Type="http://schemas.openxmlformats.org/officeDocument/2006/relationships/image" Target="media/image669.png"/><Relationship Id="rId682" Type="http://schemas.openxmlformats.org/officeDocument/2006/relationships/image" Target="media/image670.jpeg"/><Relationship Id="rId683" Type="http://schemas.openxmlformats.org/officeDocument/2006/relationships/image" Target="media/image671.png"/><Relationship Id="rId684" Type="http://schemas.openxmlformats.org/officeDocument/2006/relationships/image" Target="media/image672.png"/><Relationship Id="rId685" Type="http://schemas.openxmlformats.org/officeDocument/2006/relationships/image" Target="media/image673.png"/><Relationship Id="rId686" Type="http://schemas.openxmlformats.org/officeDocument/2006/relationships/image" Target="media/image674.png"/><Relationship Id="rId687" Type="http://schemas.openxmlformats.org/officeDocument/2006/relationships/image" Target="media/image675.png"/><Relationship Id="rId688" Type="http://schemas.openxmlformats.org/officeDocument/2006/relationships/image" Target="media/image676.png"/><Relationship Id="rId689" Type="http://schemas.openxmlformats.org/officeDocument/2006/relationships/image" Target="media/image677.png"/><Relationship Id="rId690" Type="http://schemas.openxmlformats.org/officeDocument/2006/relationships/image" Target="media/image678.png"/><Relationship Id="rId691" Type="http://schemas.openxmlformats.org/officeDocument/2006/relationships/image" Target="media/image679.png"/><Relationship Id="rId692" Type="http://schemas.openxmlformats.org/officeDocument/2006/relationships/image" Target="media/image680.png"/><Relationship Id="rId693" Type="http://schemas.openxmlformats.org/officeDocument/2006/relationships/image" Target="media/image681.jpeg"/><Relationship Id="rId694" Type="http://schemas.openxmlformats.org/officeDocument/2006/relationships/image" Target="media/image682.png"/><Relationship Id="rId695" Type="http://schemas.openxmlformats.org/officeDocument/2006/relationships/image" Target="media/image683.png"/><Relationship Id="rId696" Type="http://schemas.openxmlformats.org/officeDocument/2006/relationships/image" Target="media/image684.png"/><Relationship Id="rId697" Type="http://schemas.openxmlformats.org/officeDocument/2006/relationships/image" Target="media/image685.png"/><Relationship Id="rId698" Type="http://schemas.openxmlformats.org/officeDocument/2006/relationships/image" Target="media/image686.png"/><Relationship Id="rId699" Type="http://schemas.openxmlformats.org/officeDocument/2006/relationships/image" Target="media/image687.png"/><Relationship Id="rId700" Type="http://schemas.openxmlformats.org/officeDocument/2006/relationships/image" Target="media/image688.png"/><Relationship Id="rId701" Type="http://schemas.openxmlformats.org/officeDocument/2006/relationships/image" Target="media/image689.png"/><Relationship Id="rId702" Type="http://schemas.openxmlformats.org/officeDocument/2006/relationships/image" Target="media/image690.png"/><Relationship Id="rId703" Type="http://schemas.openxmlformats.org/officeDocument/2006/relationships/image" Target="media/image691.png"/><Relationship Id="rId704" Type="http://schemas.openxmlformats.org/officeDocument/2006/relationships/image" Target="media/image692.jpeg"/><Relationship Id="rId705" Type="http://schemas.openxmlformats.org/officeDocument/2006/relationships/image" Target="media/image693.png"/><Relationship Id="rId706" Type="http://schemas.openxmlformats.org/officeDocument/2006/relationships/image" Target="media/image694.png"/><Relationship Id="rId707" Type="http://schemas.openxmlformats.org/officeDocument/2006/relationships/image" Target="media/image695.png"/><Relationship Id="rId708" Type="http://schemas.openxmlformats.org/officeDocument/2006/relationships/image" Target="media/image696.png"/><Relationship Id="rId709" Type="http://schemas.openxmlformats.org/officeDocument/2006/relationships/image" Target="media/image697.png"/><Relationship Id="rId710" Type="http://schemas.openxmlformats.org/officeDocument/2006/relationships/image" Target="media/image698.png"/><Relationship Id="rId711" Type="http://schemas.openxmlformats.org/officeDocument/2006/relationships/image" Target="media/image699.png"/><Relationship Id="rId712" Type="http://schemas.openxmlformats.org/officeDocument/2006/relationships/image" Target="media/image700.png"/><Relationship Id="rId713" Type="http://schemas.openxmlformats.org/officeDocument/2006/relationships/image" Target="media/image701.png"/><Relationship Id="rId714" Type="http://schemas.openxmlformats.org/officeDocument/2006/relationships/image" Target="media/image702.png"/><Relationship Id="rId715" Type="http://schemas.openxmlformats.org/officeDocument/2006/relationships/image" Target="media/image703.png"/><Relationship Id="rId716" Type="http://schemas.openxmlformats.org/officeDocument/2006/relationships/image" Target="media/image704.png"/><Relationship Id="rId717" Type="http://schemas.openxmlformats.org/officeDocument/2006/relationships/image" Target="media/image705.png"/><Relationship Id="rId718" Type="http://schemas.openxmlformats.org/officeDocument/2006/relationships/image" Target="media/image706.png"/><Relationship Id="rId719" Type="http://schemas.openxmlformats.org/officeDocument/2006/relationships/image" Target="media/image707.png"/><Relationship Id="rId720" Type="http://schemas.openxmlformats.org/officeDocument/2006/relationships/image" Target="media/image708.png"/><Relationship Id="rId721" Type="http://schemas.openxmlformats.org/officeDocument/2006/relationships/image" Target="media/image709.png"/><Relationship Id="rId722" Type="http://schemas.openxmlformats.org/officeDocument/2006/relationships/image" Target="media/image710.png"/><Relationship Id="rId723" Type="http://schemas.openxmlformats.org/officeDocument/2006/relationships/image" Target="media/image711.png"/><Relationship Id="rId724" Type="http://schemas.openxmlformats.org/officeDocument/2006/relationships/image" Target="media/image712.png"/><Relationship Id="rId725" Type="http://schemas.openxmlformats.org/officeDocument/2006/relationships/image" Target="media/image713.png"/><Relationship Id="rId726" Type="http://schemas.openxmlformats.org/officeDocument/2006/relationships/image" Target="media/image714.png"/><Relationship Id="rId727" Type="http://schemas.openxmlformats.org/officeDocument/2006/relationships/image" Target="media/image715.png"/><Relationship Id="rId728" Type="http://schemas.openxmlformats.org/officeDocument/2006/relationships/image" Target="media/image716.png"/><Relationship Id="rId729" Type="http://schemas.openxmlformats.org/officeDocument/2006/relationships/image" Target="media/image717.png"/><Relationship Id="rId730" Type="http://schemas.openxmlformats.org/officeDocument/2006/relationships/image" Target="media/image718.png"/><Relationship Id="rId731" Type="http://schemas.openxmlformats.org/officeDocument/2006/relationships/image" Target="media/image719.png"/><Relationship Id="rId732" Type="http://schemas.openxmlformats.org/officeDocument/2006/relationships/image" Target="media/image720.png"/><Relationship Id="rId733" Type="http://schemas.openxmlformats.org/officeDocument/2006/relationships/image" Target="media/image721.png"/><Relationship Id="rId734" Type="http://schemas.openxmlformats.org/officeDocument/2006/relationships/image" Target="media/image722.png"/><Relationship Id="rId735" Type="http://schemas.openxmlformats.org/officeDocument/2006/relationships/image" Target="media/image723.png"/><Relationship Id="rId736" Type="http://schemas.openxmlformats.org/officeDocument/2006/relationships/image" Target="media/image724.png"/><Relationship Id="rId737" Type="http://schemas.openxmlformats.org/officeDocument/2006/relationships/image" Target="media/image725.png"/><Relationship Id="rId738" Type="http://schemas.openxmlformats.org/officeDocument/2006/relationships/image" Target="media/image726.png"/><Relationship Id="rId739" Type="http://schemas.openxmlformats.org/officeDocument/2006/relationships/image" Target="media/image727.png"/><Relationship Id="rId740" Type="http://schemas.openxmlformats.org/officeDocument/2006/relationships/image" Target="media/image728.png"/><Relationship Id="rId741" Type="http://schemas.openxmlformats.org/officeDocument/2006/relationships/image" Target="media/image729.png"/><Relationship Id="rId742" Type="http://schemas.openxmlformats.org/officeDocument/2006/relationships/image" Target="media/image730.png"/><Relationship Id="rId743" Type="http://schemas.openxmlformats.org/officeDocument/2006/relationships/image" Target="media/image731.png"/><Relationship Id="rId744" Type="http://schemas.openxmlformats.org/officeDocument/2006/relationships/image" Target="media/image732.png"/><Relationship Id="rId745" Type="http://schemas.openxmlformats.org/officeDocument/2006/relationships/image" Target="media/image733.png"/><Relationship Id="rId746" Type="http://schemas.openxmlformats.org/officeDocument/2006/relationships/image" Target="media/image734.png"/><Relationship Id="rId747" Type="http://schemas.openxmlformats.org/officeDocument/2006/relationships/image" Target="media/image735.png"/><Relationship Id="rId748" Type="http://schemas.openxmlformats.org/officeDocument/2006/relationships/image" Target="media/image736.png"/><Relationship Id="rId749" Type="http://schemas.openxmlformats.org/officeDocument/2006/relationships/image" Target="media/image737.png"/><Relationship Id="rId750" Type="http://schemas.openxmlformats.org/officeDocument/2006/relationships/image" Target="media/image738.png"/><Relationship Id="rId751" Type="http://schemas.openxmlformats.org/officeDocument/2006/relationships/image" Target="media/image739.png"/><Relationship Id="rId29" Type="http://schemas.openxmlformats.org/officeDocument/2006/relationships/hyperlink" Target="http://www.sec.gov/Archives/edgar/data/0001620463/000156459020041369/atha-ex43_7.htm" TargetMode="External"/><Relationship Id="rId30" Type="http://schemas.openxmlformats.org/officeDocument/2006/relationships/hyperlink" Target="http://www.sec.gov/Archives/edgar/data/0001620463/000156459020041369/atha-ex44_9.htm" TargetMode="External"/><Relationship Id="rId31" Type="http://schemas.openxmlformats.org/officeDocument/2006/relationships/hyperlink" Target="http://www.sec.gov/Archives/edgar/data/0001620463/000156459020041369/atha-ex101_530.htm" TargetMode="External"/><Relationship Id="rId32" Type="http://schemas.openxmlformats.org/officeDocument/2006/relationships/hyperlink" Target="http://www.sec.gov/Archives/edgar/data/0001620463/000156459020041369/atha-ex109_529.htm" TargetMode="External"/><Relationship Id="rId35" Type="http://schemas.openxmlformats.org/officeDocument/2006/relationships/hyperlink" Target="http://www.sec.gov/Archives/edgar/data/0001620463/000156459020041369/atha-ex231_5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2020-09-09T05:21:18Z</dcterms:created>
  <dcterms:modified xsi:type="dcterms:W3CDTF">2020-09-09T05:21:18Z</dcterms:modified>
</cp:coreProperties>
</file>